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68"/>
        <w:gridCol w:w="2160"/>
        <w:gridCol w:w="612"/>
        <w:gridCol w:w="3240"/>
        <w:gridCol w:w="108"/>
      </w:tblGrid>
      <w:tr w:rsidR="00132954" w:rsidRPr="001363AC" w:rsidTr="00A53200">
        <w:trPr>
          <w:gridAfter w:val="1"/>
          <w:wAfter w:w="108" w:type="dxa"/>
        </w:trPr>
        <w:tc>
          <w:tcPr>
            <w:tcW w:w="10533" w:type="dxa"/>
            <w:gridSpan w:val="5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Характеристика объектов промышленной собственности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Вид ОПС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 xml:space="preserve">Нормативный акт, </w:t>
            </w: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охраняющий ОПС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10533" w:type="dxa"/>
            <w:gridSpan w:val="5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Результаты интеллектуальной деятельности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both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Изобретение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Техническое решение, которое относится к продукту или способу, является новым, имеет изобретательский уровень и промышленно применимо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Закон РБ от 16.12.2002 г. № 160-З «О патентах на изобретения, полезные модели, промышленные образцы» (с изм. и доп.)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Полезная модель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Техническое решение, относящееся к устройствам, являющееся новым и промышленно применимым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Закон РБ от 16.12.2002 г. № 160-З «О патентах на изобретения, полезные модели, промышленные образцы» (с изм. и доп.)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10533" w:type="dxa"/>
            <w:gridSpan w:val="5"/>
            <w:shd w:val="clear" w:color="auto" w:fill="auto"/>
          </w:tcPr>
          <w:p w:rsidR="00132954" w:rsidRPr="001363AC" w:rsidRDefault="00132954" w:rsidP="002B7A56">
            <w:pPr>
              <w:jc w:val="both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Продолжение таблицы Характеристика объектов промышленной собственности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Промышленный образец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color w:val="000000"/>
                <w:sz w:val="28"/>
                <w:szCs w:val="28"/>
              </w:rPr>
              <w:t>Художественное или художественно-конструкторское решение изделия, определяющее его внешний вид и являющееся новым и оригинальным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Закон РБ от 16.12.2002 г. № 160-З «О патентах на изобретения, полезные модели, промышленные образцы» (с изм. и доп.)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iCs/>
                <w:color w:val="000000"/>
                <w:sz w:val="28"/>
                <w:szCs w:val="28"/>
              </w:rPr>
              <w:t>Сорт растения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Группа растений, которая определяется признаками, характеризующими данный генотип или комбинацию генотипов, и отличается от других групп растений того же ботанического таксона хотя бы одним признаком 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Закон РБ от 13.04.1995 г. № 3725-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  <w:lang w:val="en-US"/>
              </w:rPr>
              <w:t>XII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 «О патентах на сорта растений» (с изм. и доп.)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iCs/>
                <w:color w:val="000000"/>
                <w:sz w:val="28"/>
                <w:szCs w:val="28"/>
              </w:rPr>
              <w:t>Топология интегральной микросхемы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Зафиксированное на материальном носителе пространственно-геометрическое расположение совокупности элементов интегральной микросхемы и связей между ними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Закон РБ от 07.12.1998 г. № 214-З «О правовой охране топологий интегральных микросхем» (с изм. и доп.)</w:t>
            </w:r>
          </w:p>
        </w:tc>
      </w:tr>
      <w:tr w:rsidR="00132954" w:rsidRPr="001363AC" w:rsidTr="00A53200">
        <w:trPr>
          <w:gridAfter w:val="1"/>
          <w:wAfter w:w="108" w:type="dxa"/>
          <w:trHeight w:val="1787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Ноу-хау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Секретная информация, включающая сведения научного, технического, управленческого, финансово-экономического и коммерческого характера, которая защищается договором между сторонами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Гражданский Кодекс РБ от 07.12.1998 г. № 218-З (с изм. доп.) Раздел 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. Исключительные права на результаты интеллектуальной деятельности </w:t>
            </w:r>
          </w:p>
        </w:tc>
      </w:tr>
      <w:tr w:rsidR="00132954" w:rsidRPr="001363AC" w:rsidTr="00A53200">
        <w:trPr>
          <w:gridAfter w:val="1"/>
          <w:wAfter w:w="108" w:type="dxa"/>
          <w:trHeight w:val="291"/>
        </w:trPr>
        <w:tc>
          <w:tcPr>
            <w:tcW w:w="10533" w:type="dxa"/>
            <w:gridSpan w:val="5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Средства индивидуализации</w:t>
            </w:r>
          </w:p>
        </w:tc>
      </w:tr>
      <w:tr w:rsidR="00132954" w:rsidRPr="001363AC" w:rsidTr="00A53200">
        <w:trPr>
          <w:gridAfter w:val="1"/>
          <w:wAfter w:w="108" w:type="dxa"/>
          <w:trHeight w:val="1940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Фирменное наименование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sz w:val="28"/>
                <w:szCs w:val="28"/>
              </w:rPr>
              <w:t xml:space="preserve">Специальное наименование, являющееся частью полного или сокращенного наименования юридического лица, используемое для отличия его от других коммерческих организаций 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Гражданский Кодекс РБ от 07.12.1998 г. № 218-З (с изм. и доп.) Раздел 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. Исключительные права на результаты интеллектуальной деятельности </w:t>
            </w:r>
          </w:p>
        </w:tc>
      </w:tr>
      <w:tr w:rsidR="00132954" w:rsidRPr="001363AC" w:rsidTr="00A53200">
        <w:trPr>
          <w:gridAfter w:val="1"/>
          <w:wAfter w:w="108" w:type="dxa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  <w:t xml:space="preserve">Товарный знак </w:t>
            </w:r>
            <w:r w:rsidRPr="001363AC">
              <w:rPr>
                <w:rFonts w:ascii="Arial Narrow" w:hAnsi="Arial Narrow"/>
                <w:bCs/>
                <w:color w:val="000000"/>
                <w:spacing w:val="-4"/>
                <w:sz w:val="28"/>
                <w:szCs w:val="28"/>
              </w:rPr>
              <w:t>(знак обслуживания</w:t>
            </w:r>
            <w:r w:rsidRPr="001363AC">
              <w:rPr>
                <w:rFonts w:ascii="Arial Narrow" w:hAnsi="Arial Narrow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sz w:val="28"/>
                <w:szCs w:val="28"/>
              </w:rPr>
            </w:pPr>
            <w:r w:rsidRPr="001363AC">
              <w:rPr>
                <w:rFonts w:ascii="Arial Narrow" w:hAnsi="Arial Narrow"/>
                <w:color w:val="000000"/>
                <w:spacing w:val="-4"/>
                <w:sz w:val="28"/>
                <w:szCs w:val="28"/>
              </w:rPr>
              <w:t xml:space="preserve">Обозначение, способствующее отличию товаров или услуг одних юридических или физических лиц от однородных товаров или услуг других юридических или физических лиц. 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Закон РБ от 05.02.1993 г. № 2181-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  <w:lang w:val="en-US"/>
              </w:rPr>
              <w:t>XII</w:t>
            </w: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 «О товарных знаках и знаках обслуживания» (в редакции Закона РБ от 27.10.2000 г. № 447-З, с изм. и доп.)</w:t>
            </w:r>
          </w:p>
        </w:tc>
      </w:tr>
      <w:tr w:rsidR="00132954" w:rsidRPr="001363AC" w:rsidTr="00A53200">
        <w:trPr>
          <w:gridAfter w:val="1"/>
          <w:wAfter w:w="108" w:type="dxa"/>
          <w:trHeight w:val="2416"/>
        </w:trPr>
        <w:tc>
          <w:tcPr>
            <w:tcW w:w="2253" w:type="dxa"/>
            <w:shd w:val="clear" w:color="auto" w:fill="auto"/>
          </w:tcPr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</w:pPr>
          </w:p>
          <w:p w:rsidR="00132954" w:rsidRPr="001363AC" w:rsidRDefault="00132954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  <w:t>Географическое указание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color w:val="000000"/>
                <w:spacing w:val="-4"/>
                <w:sz w:val="28"/>
                <w:szCs w:val="28"/>
              </w:rPr>
            </w:pPr>
            <w:r w:rsidRPr="001363AC">
              <w:rPr>
                <w:rFonts w:ascii="Arial Narrow" w:hAnsi="Arial Narrow"/>
                <w:color w:val="000000"/>
                <w:spacing w:val="-4"/>
                <w:sz w:val="28"/>
                <w:szCs w:val="28"/>
              </w:rPr>
              <w:t>Обозначение, которое идентифицирует товар как происходящий с территории страны либо из региона или местности на этой территории, где определенные качество, репутация или другие характеристики товара в значительной степени связываются с его географическим происхождением</w:t>
            </w:r>
          </w:p>
        </w:tc>
        <w:tc>
          <w:tcPr>
            <w:tcW w:w="3240" w:type="dxa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Закон РБ от 17.07.2002 г. № 127-З «О географических указаниях» (с изм. и доп.)</w:t>
            </w:r>
          </w:p>
        </w:tc>
      </w:tr>
      <w:tr w:rsidR="00132954" w:rsidRPr="001363AC" w:rsidTr="00A53200">
        <w:trPr>
          <w:gridAfter w:val="1"/>
          <w:wAfter w:w="108" w:type="dxa"/>
          <w:trHeight w:val="350"/>
        </w:trPr>
        <w:tc>
          <w:tcPr>
            <w:tcW w:w="10533" w:type="dxa"/>
            <w:gridSpan w:val="5"/>
            <w:shd w:val="clear" w:color="auto" w:fill="auto"/>
          </w:tcPr>
          <w:p w:rsidR="00132954" w:rsidRPr="001363AC" w:rsidRDefault="00132954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и другие ОПС  </w:t>
            </w:r>
          </w:p>
        </w:tc>
      </w:tr>
      <w:tr w:rsidR="00CA07B9" w:rsidRPr="001363AC" w:rsidTr="00A53200">
        <w:trPr>
          <w:gridAfter w:val="1"/>
          <w:wAfter w:w="108" w:type="dxa"/>
          <w:trHeight w:val="350"/>
        </w:trPr>
        <w:tc>
          <w:tcPr>
            <w:tcW w:w="10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9" w:rsidRPr="00CA07B9" w:rsidRDefault="00CA07B9" w:rsidP="00CA07B9">
            <w:pPr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CA07B9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Охранные документы на ОПС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Вид объектов промышленной собственности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Вид охранного документа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Срок действия охранного документа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Изобретение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20 лет</w:t>
            </w:r>
          </w:p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 (возможно продление на 5 лет)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Полезная модель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5 лет</w:t>
            </w:r>
          </w:p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(возможно продление на 3 года)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Промышленный образец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10 лет</w:t>
            </w:r>
          </w:p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(возможно продление на 5 лет)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iCs/>
                <w:color w:val="000000"/>
                <w:sz w:val="28"/>
                <w:szCs w:val="28"/>
              </w:rPr>
              <w:t>Сорт растения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25 лет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iCs/>
                <w:color w:val="000000"/>
                <w:sz w:val="28"/>
                <w:szCs w:val="28"/>
              </w:rPr>
              <w:t>Топология интегральной микросхемы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Свидетельство</w:t>
            </w:r>
          </w:p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10 лет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Ноу-хау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Договоры между сторонами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срока действия условий защиты объекта</w:t>
            </w:r>
            <w:proofErr w:type="gramEnd"/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Фирменное наименование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В течение деятельности организации или до смены фирменного наименования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  <w:t xml:space="preserve">Товарный знак </w:t>
            </w:r>
          </w:p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color w:val="000000"/>
                <w:spacing w:val="-4"/>
                <w:sz w:val="28"/>
                <w:szCs w:val="28"/>
              </w:rPr>
              <w:t>(знак обслуживания</w:t>
            </w:r>
            <w:r w:rsidRPr="001363AC">
              <w:rPr>
                <w:rFonts w:ascii="Arial Narrow" w:hAnsi="Arial Narrow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Свидетельство</w:t>
            </w:r>
          </w:p>
          <w:p w:rsidR="00CA07B9" w:rsidRPr="001363AC" w:rsidRDefault="00CA07B9" w:rsidP="002B7A5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 xml:space="preserve">10 лет (возможно продление каждый раз на 10 лет) </w:t>
            </w:r>
          </w:p>
        </w:tc>
      </w:tr>
      <w:tr w:rsidR="00CA07B9" w:rsidRPr="001363AC" w:rsidTr="00A53200">
        <w:tc>
          <w:tcPr>
            <w:tcW w:w="4521" w:type="dxa"/>
            <w:gridSpan w:val="2"/>
            <w:shd w:val="clear" w:color="auto" w:fill="auto"/>
          </w:tcPr>
          <w:p w:rsidR="00CA07B9" w:rsidRPr="001363AC" w:rsidRDefault="00CA07B9" w:rsidP="002B7A56">
            <w:pPr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pacing w:val="-4"/>
                <w:sz w:val="28"/>
                <w:szCs w:val="28"/>
              </w:rPr>
              <w:t>Наименование места происхождения товара</w:t>
            </w:r>
          </w:p>
        </w:tc>
        <w:tc>
          <w:tcPr>
            <w:tcW w:w="2160" w:type="dxa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Свидетельство</w:t>
            </w:r>
          </w:p>
          <w:p w:rsidR="00CA07B9" w:rsidRPr="001363AC" w:rsidRDefault="00CA07B9" w:rsidP="002B7A56">
            <w:pPr>
              <w:rPr>
                <w:rFonts w:ascii="Arial Narrow" w:hAnsi="Arial Narrow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CA07B9" w:rsidRPr="001363AC" w:rsidRDefault="00CA07B9" w:rsidP="002B7A56">
            <w:pPr>
              <w:jc w:val="center"/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</w:pPr>
            <w:r w:rsidRPr="001363AC">
              <w:rPr>
                <w:rFonts w:ascii="Arial Narrow" w:hAnsi="Arial Narrow"/>
                <w:bCs/>
                <w:iCs/>
                <w:color w:val="000000"/>
                <w:sz w:val="28"/>
                <w:szCs w:val="28"/>
              </w:rPr>
              <w:t>10 лет (возможно продление каждый раз на 10 лет)</w:t>
            </w:r>
          </w:p>
        </w:tc>
      </w:tr>
    </w:tbl>
    <w:p w:rsidR="00CA07B9" w:rsidRDefault="00CA07B9" w:rsidP="009B5CC1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B09ED">
        <w:rPr>
          <w:rFonts w:ascii="Arial Narrow" w:hAnsi="Arial Narrow"/>
          <w:b/>
          <w:color w:val="000000"/>
          <w:sz w:val="28"/>
          <w:szCs w:val="28"/>
        </w:rPr>
        <w:t>Нормативные правовые акты</w:t>
      </w: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Гражданский Кодекс РБ от 07.12.1998 г. № 218-З (с изменениями и дополнениями) // Ведомости Национального собрания Республики Беларусь, 1999 г., № 7-9, ст. 101.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sz w:val="28"/>
          <w:szCs w:val="28"/>
        </w:rPr>
        <w:t>Об утверждении Государственной программы по охране интеллектуальной собственности на 2008-2010 годы: постановление Совета Министров Республики Беларусь, 21 ноября 2007 г., № 1555 // Нац. Реестр правовых актов Республики Беларусь. – 2007. - № 287. – 5/26199.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sz w:val="28"/>
          <w:szCs w:val="28"/>
        </w:rPr>
        <w:t xml:space="preserve">Об авторском праве и смежных правах: </w:t>
      </w:r>
      <w:proofErr w:type="gramStart"/>
      <w:r w:rsidRPr="000B09ED">
        <w:rPr>
          <w:rFonts w:ascii="Arial Narrow" w:hAnsi="Arial Narrow"/>
          <w:sz w:val="28"/>
          <w:szCs w:val="28"/>
        </w:rPr>
        <w:t>Закон Республики Беларусь, 16 мая 1996 г. № 370-</w:t>
      </w:r>
      <w:r w:rsidRPr="000B09ED">
        <w:rPr>
          <w:rFonts w:ascii="Arial Narrow" w:hAnsi="Arial Narrow"/>
          <w:sz w:val="28"/>
          <w:szCs w:val="28"/>
          <w:lang w:val="en-US"/>
        </w:rPr>
        <w:t>XIII</w:t>
      </w:r>
      <w:r w:rsidRPr="000B09ED">
        <w:rPr>
          <w:rFonts w:ascii="Arial Narrow" w:hAnsi="Arial Narrow"/>
          <w:sz w:val="28"/>
          <w:szCs w:val="28"/>
        </w:rPr>
        <w:t>: в ред. Закона Республики Беларусь от 11 августа 1998 г. № 194-З, с изм. и доп. // Ведомости Верховного Совета Республики Беларусь. – 1996. - № 20, ст.366; Ведомости Нац. собрания Республики Беларусь. – 1998. - № 31-32, ст.472; Национальный реестр правовых актов Республики Беларусь. – 2003. - № 8. - 2/932;</w:t>
      </w:r>
      <w:proofErr w:type="gramEnd"/>
      <w:r w:rsidRPr="000B09ED">
        <w:rPr>
          <w:rFonts w:ascii="Arial Narrow" w:hAnsi="Arial Narrow"/>
          <w:sz w:val="28"/>
          <w:szCs w:val="28"/>
        </w:rPr>
        <w:t xml:space="preserve"> рег. номер Нац. реестра 2/519.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О патентах на изобретения, полезные модели, промышленные образцы (с изм. и доп.): Закон Республики Беларусь, 16 дек. 2002 г., № 160-З // Нац. реестр правовых актов Республики Беларусь. – 2003. - № 1. – 2/909; 2004. - № 174. – 2/1068; 2007. - № 118. – 2/1308.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Государственный стандарт Республики Беларусь СТБ 1180-99 «Патентные исследования. Содержание и порядок проведения» (утверждён и введён в действие постановлением Госстандарта Республики Беларусь от 30 сет. 1999 г. № 20)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Об оценочной деятельности в Республике Беларусь (с изм. и доп.): Указ Президента Республики Беларусь, 13 окт. 2006 г., № 615 // Нац. реестр правовых актов Республики Беларусь. – 2006. - № 168. – 1/7999; 2007. - № 83. – 1/8471; 2008. - № 248. – 1/10094.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 xml:space="preserve"> Об утверждении Положения о коммерческой тайне: постановление Совета Министров Республики Беларусь, 6 </w:t>
      </w:r>
      <w:proofErr w:type="spellStart"/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нояб</w:t>
      </w:r>
      <w:proofErr w:type="spellEnd"/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. 1992 г., № 670 // Собрание постановлений Правительства Республики Беларусь. – 1992. - № 32. – Ст. 570; рег. номер Нац. реестра 5/8515.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Государственный стандарт Республики Беларусь СТБ 52.5.01-2007 «Оценка стоимости объектов гражданских прав. Оценка объектов интеллектуальной собственности» (утверждён и введён в действие постановлением Госстандарта Республики Беларусь от 12 апр. 2007 г. № 23).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proofErr w:type="gramStart"/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Об утверждении Методических рекомендаций по оценке стоимости и учёту объектов интеллектуальной собственности в составе нематериальных активов и Порядка экспертизы достоверности оценки стоимости объектов интеллектуальной собственности в составе нематериальных активов (с изм. и доп.): Приказ Государственного патентного комитета Республики Беларусь, 17 апр. 1998 г., № 20; Министерства экономики Республики Беларусь, 18 мая 1998 г., № 41;</w:t>
      </w:r>
      <w:proofErr w:type="gramEnd"/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 xml:space="preserve"> Министерства финансов Республики Беларусь, 20 апр. 1998 г., № 109; Государственного комитета по науке и технологиями Республики Беларусь, 22 апр. 1998 г., № 75 // </w:t>
      </w:r>
      <w:proofErr w:type="spellStart"/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Бюл</w:t>
      </w:r>
      <w:proofErr w:type="spellEnd"/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 xml:space="preserve">. нормативно-правовой информации. – 1998. - № 20; Нац. реестр правовых актов Республики </w:t>
      </w: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lastRenderedPageBreak/>
        <w:t>Беларусь. – 1999. - № 37. – 8/282; 2007. - № 107. – 8/16273; рег. номер Нац. реестра 8/1040.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О Концепции развития системы охраны интеллектуальной собственности в Республике Беларусь: постановление Совета Министров Республики Беларусь, 26 апр. 2004 г., № 472 // Нац. реестр правовых актов Республики Беларусь. – 2004. - № 69. – 5/14144.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О товарных знаках и знаках обслуживания (с изм. и доп.): Закон Республики Беларусь, 05 февр. 1993 г., №  2181-</w:t>
      </w:r>
      <w:r w:rsidRPr="000B09ED">
        <w:rPr>
          <w:rFonts w:ascii="Arial Narrow" w:hAnsi="Arial Narrow"/>
          <w:bCs/>
          <w:iCs/>
          <w:color w:val="000000"/>
          <w:sz w:val="28"/>
          <w:szCs w:val="28"/>
          <w:lang w:val="en-US"/>
        </w:rPr>
        <w:t>XII</w:t>
      </w: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 xml:space="preserve"> // Нац. реестр правовых актов Республики Беларусь. – 2000. - № 106. – 2/222; 2002. -  № 87. - 2/883; 2004. -  № 5,2/1017; 2006. -  № 122, 2/1259; 2007. -  № 118, 2/1308; 2009. - № 173, 2/1596.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О патентах на сорта растений (с изм. и доп.): Закон Республики Беларусь, 13. апр. 1995 г., № 3725-</w:t>
      </w:r>
      <w:r w:rsidRPr="000B09ED">
        <w:rPr>
          <w:rFonts w:ascii="Arial Narrow" w:hAnsi="Arial Narrow"/>
          <w:bCs/>
          <w:iCs/>
          <w:color w:val="000000"/>
          <w:sz w:val="28"/>
          <w:szCs w:val="28"/>
          <w:lang w:val="en-US"/>
        </w:rPr>
        <w:t>XII</w:t>
      </w: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 xml:space="preserve"> // Нац. реестр правовых актов Республики Беларусь. – 2001. - № 67, 2/791; 2004. -  № 103, 2/1040; 2007. - № 118, 2/1308.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sz w:val="28"/>
          <w:szCs w:val="28"/>
        </w:rPr>
        <w:t>О правовой охране топологий интегральных микросхем (</w:t>
      </w: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с изм. и доп.): Закон Республики Беларусь, 07 дек. 1998 г., . № 214-З // Нац. реестр правовых актов Республики Беларусь. – 2001. -  № 67, 2/791; 2004. -  № 87, 2/1035; 2007. -  № 118, 2/1308.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0B09ED">
        <w:rPr>
          <w:rFonts w:ascii="Arial Narrow" w:hAnsi="Arial Narrow"/>
          <w:sz w:val="28"/>
          <w:szCs w:val="28"/>
        </w:rPr>
        <w:t>О географических указаниях (</w:t>
      </w:r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>с изм. и доп.): Закон Республики Беларусь, 17 июл.2002 г., // Нац. реестр правовых актов Республики Беларусь. – 2002. - № 84, 2/876; 2004. - № 174, 2/1068; 2007. -  № 118, 2/1308.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bCs/>
          <w:sz w:val="28"/>
          <w:szCs w:val="28"/>
        </w:rPr>
        <w:t xml:space="preserve">О состоянии </w:t>
      </w:r>
      <w:r w:rsidRPr="000B09ED">
        <w:rPr>
          <w:rFonts w:ascii="Arial Narrow" w:hAnsi="Arial Narrow"/>
          <w:sz w:val="28"/>
          <w:szCs w:val="28"/>
        </w:rPr>
        <w:t>и перспективах развития науки в Республике Беларусь по итогам 2007 года: Аналитический доклад / А.Н. Коршунов [и др.] - Минск</w:t>
      </w:r>
      <w:proofErr w:type="gramStart"/>
      <w:r w:rsidRPr="000B09ED">
        <w:rPr>
          <w:rFonts w:ascii="Arial Narrow" w:hAnsi="Arial Narrow"/>
          <w:sz w:val="28"/>
          <w:szCs w:val="28"/>
        </w:rPr>
        <w:t xml:space="preserve">.: </w:t>
      </w:r>
      <w:proofErr w:type="gramEnd"/>
      <w:r w:rsidRPr="000B09ED">
        <w:rPr>
          <w:rFonts w:ascii="Arial Narrow" w:hAnsi="Arial Narrow"/>
          <w:sz w:val="28"/>
          <w:szCs w:val="28"/>
        </w:rPr>
        <w:t>ГУ «</w:t>
      </w:r>
      <w:proofErr w:type="spellStart"/>
      <w:r w:rsidRPr="000B09ED">
        <w:rPr>
          <w:rFonts w:ascii="Arial Narrow" w:hAnsi="Arial Narrow"/>
          <w:sz w:val="28"/>
          <w:szCs w:val="28"/>
        </w:rPr>
        <w:t>БелИСА</w:t>
      </w:r>
      <w:proofErr w:type="spellEnd"/>
      <w:r w:rsidRPr="000B09ED">
        <w:rPr>
          <w:rFonts w:ascii="Arial Narrow" w:hAnsi="Arial Narrow"/>
          <w:sz w:val="28"/>
          <w:szCs w:val="28"/>
        </w:rPr>
        <w:t>», 2008 г.- 308 с.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8"/>
          <w:szCs w:val="28"/>
        </w:rPr>
      </w:pPr>
      <w:r w:rsidRPr="000B09ED">
        <w:rPr>
          <w:rFonts w:ascii="Arial Narrow" w:hAnsi="Arial Narrow"/>
          <w:sz w:val="28"/>
          <w:szCs w:val="28"/>
        </w:rPr>
        <w:t>Инструкция о порядке начисления  амортизации основных средств и нематериальных активов, утвержденной Постановлением Министерства экономики Республики Беларусь, Министерства финансов Республики Беларусь и Министерства архитектуры и строительства Республики Беларусь от 27 февраля  2009 г. № 37/18/6.</w:t>
      </w:r>
    </w:p>
    <w:p w:rsidR="000B09ED" w:rsidRPr="000B09ED" w:rsidRDefault="000B09ED" w:rsidP="000B09ED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B09ED" w:rsidRPr="000B09ED" w:rsidRDefault="000B09ED" w:rsidP="000B09E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0B09ED">
        <w:rPr>
          <w:rFonts w:ascii="Arial Narrow" w:hAnsi="Arial Narrow"/>
          <w:b/>
          <w:sz w:val="28"/>
          <w:szCs w:val="28"/>
        </w:rPr>
        <w:t>Ресурсы Интернет</w:t>
      </w:r>
    </w:p>
    <w:p w:rsidR="000B09ED" w:rsidRPr="000B09ED" w:rsidRDefault="000B09ED" w:rsidP="000B09E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Arial Narrow" w:hAnsi="Arial Narrow" w:cs="TimesNewRomanPSMT"/>
          <w:sz w:val="28"/>
          <w:szCs w:val="28"/>
        </w:rPr>
      </w:pPr>
      <w:hyperlink r:id="rId6" w:history="1"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www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</w:rPr>
          <w:t>.</w:t>
        </w:r>
        <w:proofErr w:type="spellStart"/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belgospatent</w:t>
        </w:r>
        <w:proofErr w:type="spellEnd"/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</w:rPr>
          <w:t>.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org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</w:rPr>
          <w:t>.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by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</w:rPr>
          <w:t>/</w:t>
        </w:r>
      </w:hyperlink>
      <w:r w:rsidRPr="000B09ED">
        <w:rPr>
          <w:rFonts w:ascii="Arial Narrow" w:hAnsi="Arial Narrow" w:cs="TimesNewRomanPSMT"/>
          <w:sz w:val="28"/>
          <w:szCs w:val="28"/>
        </w:rPr>
        <w:t xml:space="preserve">  - сайт Национального центра интеллектуальной собственности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8"/>
          <w:szCs w:val="28"/>
        </w:rPr>
      </w:pPr>
      <w:hyperlink r:id="rId7" w:history="1">
        <w:r w:rsidRPr="000B09ED">
          <w:rPr>
            <w:rFonts w:ascii="Arial Narrow" w:hAnsi="Arial Narrow"/>
            <w:color w:val="0000FF"/>
            <w:sz w:val="28"/>
            <w:szCs w:val="28"/>
            <w:u w:val="single"/>
            <w:lang w:val="en-US"/>
          </w:rPr>
          <w:t>www</w:t>
        </w:r>
        <w:r w:rsidRPr="000B09ED">
          <w:rPr>
            <w:rFonts w:ascii="Arial Narrow" w:hAnsi="Arial Narrow"/>
            <w:color w:val="0000FF"/>
            <w:sz w:val="28"/>
            <w:szCs w:val="28"/>
            <w:u w:val="single"/>
          </w:rPr>
          <w:t>.</w:t>
        </w:r>
        <w:proofErr w:type="spellStart"/>
        <w:r w:rsidRPr="000B09ED">
          <w:rPr>
            <w:rFonts w:ascii="Arial Narrow" w:hAnsi="Arial Narrow"/>
            <w:color w:val="0000FF"/>
            <w:sz w:val="28"/>
            <w:szCs w:val="28"/>
            <w:u w:val="single"/>
            <w:lang w:val="en-US"/>
          </w:rPr>
          <w:t>eapo</w:t>
        </w:r>
        <w:proofErr w:type="spellEnd"/>
        <w:r w:rsidRPr="000B09ED">
          <w:rPr>
            <w:rFonts w:ascii="Arial Narrow" w:hAnsi="Arial Narrow"/>
            <w:color w:val="0000FF"/>
            <w:sz w:val="28"/>
            <w:szCs w:val="28"/>
            <w:u w:val="single"/>
          </w:rPr>
          <w:t>.</w:t>
        </w:r>
        <w:r w:rsidRPr="000B09ED">
          <w:rPr>
            <w:rFonts w:ascii="Arial Narrow" w:hAnsi="Arial Narrow"/>
            <w:color w:val="0000FF"/>
            <w:sz w:val="28"/>
            <w:szCs w:val="28"/>
            <w:u w:val="single"/>
            <w:lang w:val="en-US"/>
          </w:rPr>
          <w:t>org</w:t>
        </w:r>
        <w:r w:rsidRPr="000B09ED">
          <w:rPr>
            <w:rFonts w:ascii="Arial Narrow" w:hAnsi="Arial Narrow"/>
            <w:color w:val="0000FF"/>
            <w:sz w:val="28"/>
            <w:szCs w:val="28"/>
            <w:u w:val="single"/>
          </w:rPr>
          <w:t>/</w:t>
        </w:r>
        <w:proofErr w:type="spellStart"/>
        <w:r w:rsidRPr="000B09ED">
          <w:rPr>
            <w:rFonts w:ascii="Arial Narrow" w:hAnsi="Arial Narrow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B09ED">
        <w:rPr>
          <w:rFonts w:ascii="Arial Narrow" w:hAnsi="Arial Narrow"/>
          <w:sz w:val="28"/>
          <w:szCs w:val="28"/>
        </w:rPr>
        <w:t xml:space="preserve"> - сайт Евразийской патентной организации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8"/>
          <w:szCs w:val="28"/>
        </w:rPr>
      </w:pPr>
      <w:hyperlink r:id="rId8" w:history="1"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www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</w:rPr>
          <w:t>.</w:t>
        </w:r>
        <w:proofErr w:type="spellStart"/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gknt</w:t>
        </w:r>
        <w:proofErr w:type="spellEnd"/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</w:rPr>
          <w:t>.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org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</w:rPr>
          <w:t>.</w:t>
        </w:r>
        <w:r w:rsidRPr="000B09ED">
          <w:rPr>
            <w:rFonts w:ascii="Arial Narrow" w:hAnsi="Arial Narrow" w:cs="TimesNewRomanPSMT"/>
            <w:color w:val="0000FF"/>
            <w:sz w:val="28"/>
            <w:szCs w:val="28"/>
            <w:u w:val="single"/>
            <w:lang w:val="en-US"/>
          </w:rPr>
          <w:t>by</w:t>
        </w:r>
      </w:hyperlink>
      <w:r w:rsidRPr="000B09ED">
        <w:rPr>
          <w:rFonts w:ascii="Arial Narrow" w:hAnsi="Arial Narrow" w:cs="TimesNewRomanPSMT"/>
          <w:sz w:val="28"/>
          <w:szCs w:val="28"/>
        </w:rPr>
        <w:t xml:space="preserve"> – сайт Государственного комитета по науке и технологиям Республики Беларусь</w:t>
      </w:r>
    </w:p>
    <w:p w:rsidR="000B09ED" w:rsidRPr="000B09ED" w:rsidRDefault="000B09ED" w:rsidP="000B09ED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hyperlink r:id="rId9" w:history="1">
        <w:r w:rsidRPr="000B09ED">
          <w:rPr>
            <w:rFonts w:ascii="Arial Narrow" w:hAnsi="Arial Narrow"/>
            <w:bCs/>
            <w:iCs/>
            <w:color w:val="0000FF"/>
            <w:sz w:val="28"/>
            <w:szCs w:val="28"/>
            <w:u w:val="single"/>
            <w:lang w:val="en-US"/>
          </w:rPr>
          <w:t>www</w:t>
        </w:r>
        <w:r w:rsidRPr="000B09ED">
          <w:rPr>
            <w:rFonts w:ascii="Arial Narrow" w:hAnsi="Arial Narrow"/>
            <w:bCs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0B09ED">
          <w:rPr>
            <w:rFonts w:ascii="Arial Narrow" w:hAnsi="Arial Narrow"/>
            <w:bCs/>
            <w:iCs/>
            <w:color w:val="0000FF"/>
            <w:sz w:val="28"/>
            <w:szCs w:val="28"/>
            <w:u w:val="single"/>
            <w:lang w:val="en-US"/>
          </w:rPr>
          <w:t>fips</w:t>
        </w:r>
        <w:proofErr w:type="spellEnd"/>
        <w:r w:rsidRPr="000B09ED">
          <w:rPr>
            <w:rFonts w:ascii="Arial Narrow" w:hAnsi="Arial Narrow"/>
            <w:bCs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0B09ED">
          <w:rPr>
            <w:rFonts w:ascii="Arial Narrow" w:hAnsi="Arial Narrow"/>
            <w:bCs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B09ED">
        <w:rPr>
          <w:rFonts w:ascii="Arial Narrow" w:hAnsi="Arial Narrow"/>
          <w:bCs/>
          <w:iCs/>
          <w:color w:val="000000"/>
          <w:sz w:val="28"/>
          <w:szCs w:val="28"/>
        </w:rPr>
        <w:t xml:space="preserve"> – сайт Российского патентного ведомства</w:t>
      </w:r>
    </w:p>
    <w:p w:rsidR="000B09ED" w:rsidRPr="000B09ED" w:rsidRDefault="000B09ED" w:rsidP="000B09ED">
      <w:pPr>
        <w:tabs>
          <w:tab w:val="num" w:pos="0"/>
        </w:tabs>
        <w:ind w:firstLine="360"/>
        <w:jc w:val="both"/>
        <w:rPr>
          <w:bCs/>
          <w:iCs/>
          <w:color w:val="000000"/>
        </w:rPr>
      </w:pPr>
      <w:r w:rsidRPr="000B09ED">
        <w:rPr>
          <w:bCs/>
          <w:iCs/>
          <w:color w:val="000000"/>
        </w:rPr>
        <w:t xml:space="preserve">   </w:t>
      </w:r>
    </w:p>
    <w:p w:rsidR="000B09ED" w:rsidRPr="000B09ED" w:rsidRDefault="000B09ED" w:rsidP="000B09ED">
      <w:pPr>
        <w:tabs>
          <w:tab w:val="num" w:pos="0"/>
        </w:tabs>
        <w:ind w:firstLine="360"/>
        <w:jc w:val="both"/>
        <w:rPr>
          <w:bCs/>
          <w:iCs/>
          <w:color w:val="000000"/>
        </w:rPr>
      </w:pPr>
    </w:p>
    <w:p w:rsidR="000B09ED" w:rsidRPr="000B09ED" w:rsidRDefault="000B09ED" w:rsidP="000B09ED">
      <w:pPr>
        <w:tabs>
          <w:tab w:val="num" w:pos="0"/>
        </w:tabs>
        <w:ind w:firstLine="360"/>
        <w:jc w:val="both"/>
        <w:rPr>
          <w:bCs/>
          <w:iCs/>
          <w:color w:val="000000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bCs/>
          <w:iCs/>
          <w:color w:val="000000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bCs/>
          <w:iCs/>
          <w:color w:val="000000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bCs/>
          <w:iCs/>
          <w:color w:val="000000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bCs/>
          <w:iCs/>
          <w:color w:val="000000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bCs/>
          <w:iCs/>
          <w:color w:val="000000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bCs/>
          <w:iCs/>
          <w:color w:val="000000"/>
        </w:rPr>
      </w:pPr>
    </w:p>
    <w:p w:rsidR="000B09ED" w:rsidRPr="000B09ED" w:rsidRDefault="000B09ED" w:rsidP="000B09ED">
      <w:pPr>
        <w:shd w:val="clear" w:color="auto" w:fill="FFFFFF"/>
        <w:jc w:val="center"/>
        <w:rPr>
          <w:rFonts w:ascii="Arial Narrow" w:hAnsi="Arial Narrow"/>
          <w:b/>
          <w:bCs/>
          <w:iCs/>
          <w:color w:val="000000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B3F9D" w:rsidRDefault="007B3F9D" w:rsidP="00A53200">
      <w:pPr>
        <w:spacing w:line="330" w:lineRule="exact"/>
        <w:ind w:firstLine="567"/>
        <w:jc w:val="both"/>
        <w:rPr>
          <w:sz w:val="22"/>
          <w:szCs w:val="22"/>
          <w:lang w:eastAsia="en-US"/>
        </w:rPr>
      </w:pPr>
    </w:p>
    <w:p w:rsidR="007664E8" w:rsidRDefault="007664E8"/>
    <w:sectPr w:rsidR="007664E8" w:rsidSect="008422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A51"/>
    <w:multiLevelType w:val="hybridMultilevel"/>
    <w:tmpl w:val="8DB4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0A32"/>
    <w:multiLevelType w:val="hybridMultilevel"/>
    <w:tmpl w:val="C6EA9720"/>
    <w:lvl w:ilvl="0" w:tplc="8018BE22">
      <w:start w:val="1"/>
      <w:numFmt w:val="bullet"/>
      <w:lvlText w:val=""/>
      <w:lvlJc w:val="left"/>
      <w:pPr>
        <w:tabs>
          <w:tab w:val="num" w:pos="153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0E034A2"/>
    <w:multiLevelType w:val="hybridMultilevel"/>
    <w:tmpl w:val="08EEE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4"/>
    <w:rsid w:val="000B09ED"/>
    <w:rsid w:val="00132954"/>
    <w:rsid w:val="007664E8"/>
    <w:rsid w:val="007B3F9D"/>
    <w:rsid w:val="008422BF"/>
    <w:rsid w:val="009B5CC1"/>
    <w:rsid w:val="00A53200"/>
    <w:rsid w:val="00CA07B9"/>
    <w:rsid w:val="00E4356D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nt.org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po.org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gospatent.org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2015-02-18T10:12:00Z</cp:lastPrinted>
  <dcterms:created xsi:type="dcterms:W3CDTF">2015-03-12T06:55:00Z</dcterms:created>
  <dcterms:modified xsi:type="dcterms:W3CDTF">2015-03-12T06:58:00Z</dcterms:modified>
</cp:coreProperties>
</file>