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CD" w:rsidRPr="005C21CD" w:rsidRDefault="005C21CD" w:rsidP="005C21C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Вопросы к экзамену по</w:t>
      </w:r>
      <w:r w:rsidRPr="00E574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курсу «Г</w:t>
      </w: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азоснабжени</w:t>
      </w:r>
      <w:r w:rsidRPr="00E5740F">
        <w:rPr>
          <w:rFonts w:ascii="Times New Roman" w:eastAsia="Calibri" w:hAnsi="Times New Roman" w:cs="Times New Roman"/>
          <w:sz w:val="24"/>
          <w:szCs w:val="24"/>
          <w:lang w:eastAsia="ru-RU"/>
        </w:rPr>
        <w:t>е»</w:t>
      </w: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5740F">
        <w:rPr>
          <w:rFonts w:ascii="Times New Roman" w:eastAsia="Calibri" w:hAnsi="Times New Roman" w:cs="Times New Roman"/>
          <w:sz w:val="24"/>
          <w:szCs w:val="24"/>
          <w:lang w:eastAsia="ru-RU"/>
        </w:rPr>
        <w:t>для студентов ЗО (10</w:t>
      </w: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семестр</w:t>
      </w:r>
      <w:r w:rsidRPr="00E5740F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Pr="00E5740F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:rsidR="005C21CD" w:rsidRPr="005C21CD" w:rsidRDefault="005C21CD" w:rsidP="005C21CD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C21CD" w:rsidRPr="005C21CD" w:rsidRDefault="005C21CD" w:rsidP="00E5740F">
      <w:pPr>
        <w:spacing w:after="0" w:line="240" w:lineRule="auto"/>
        <w:ind w:left="3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1.Назначение и классификация ГРП (ГРУ)</w:t>
      </w:r>
    </w:p>
    <w:p w:rsidR="005C21CD" w:rsidRPr="005C21CD" w:rsidRDefault="005C21CD" w:rsidP="00E5740F">
      <w:pPr>
        <w:spacing w:after="0" w:line="240" w:lineRule="auto"/>
        <w:ind w:left="3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2.Размещение ГРП</w:t>
      </w:r>
    </w:p>
    <w:p w:rsidR="005C21CD" w:rsidRPr="005C21CD" w:rsidRDefault="005C21CD" w:rsidP="00E5740F">
      <w:pPr>
        <w:spacing w:after="0" w:line="240" w:lineRule="auto"/>
        <w:ind w:left="3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3.Размещение ГРУ</w:t>
      </w:r>
    </w:p>
    <w:p w:rsidR="005C21CD" w:rsidRPr="005C21CD" w:rsidRDefault="005C21CD" w:rsidP="00E5740F">
      <w:pPr>
        <w:spacing w:after="0" w:line="240" w:lineRule="auto"/>
        <w:ind w:left="3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4.Размещение шкафных ГРП</w:t>
      </w:r>
    </w:p>
    <w:p w:rsidR="005C21CD" w:rsidRPr="005C21CD" w:rsidRDefault="005C21CD" w:rsidP="00E5740F">
      <w:pPr>
        <w:spacing w:after="0" w:line="240" w:lineRule="auto"/>
        <w:ind w:left="3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5.Оборудование ГРП и ГРУ</w:t>
      </w:r>
    </w:p>
    <w:p w:rsidR="005C21CD" w:rsidRPr="005C21CD" w:rsidRDefault="005C21CD" w:rsidP="00E5740F">
      <w:pPr>
        <w:spacing w:after="0" w:line="240" w:lineRule="auto"/>
        <w:ind w:left="3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6.Компоновка отдельно стоящих  ГРП</w:t>
      </w:r>
    </w:p>
    <w:p w:rsidR="005C21CD" w:rsidRPr="005C21CD" w:rsidRDefault="005C21CD" w:rsidP="00E5740F">
      <w:pPr>
        <w:spacing w:after="0" w:line="240" w:lineRule="auto"/>
        <w:ind w:left="3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7.Аксонометрическая схема ГРП</w:t>
      </w:r>
    </w:p>
    <w:p w:rsidR="005C21CD" w:rsidRPr="005C21CD" w:rsidRDefault="005C21CD" w:rsidP="00E5740F">
      <w:pPr>
        <w:spacing w:after="0" w:line="240" w:lineRule="auto"/>
        <w:ind w:left="3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8.Компоновка шкафных ГРП</w:t>
      </w:r>
    </w:p>
    <w:p w:rsidR="005C21CD" w:rsidRPr="005C21CD" w:rsidRDefault="005C21CD" w:rsidP="00E5740F">
      <w:pPr>
        <w:spacing w:after="0" w:line="240" w:lineRule="auto"/>
        <w:ind w:left="3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9.Регуляторы давления газа</w:t>
      </w:r>
    </w:p>
    <w:p w:rsidR="005C21CD" w:rsidRPr="005C21CD" w:rsidRDefault="005C21CD" w:rsidP="00E5740F">
      <w:pPr>
        <w:spacing w:after="0" w:line="240" w:lineRule="auto"/>
        <w:ind w:left="3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10.Регуляторы давления прямого действия</w:t>
      </w:r>
    </w:p>
    <w:p w:rsidR="005C21CD" w:rsidRPr="005C21CD" w:rsidRDefault="005C21CD" w:rsidP="00E5740F">
      <w:pPr>
        <w:spacing w:after="0" w:line="240" w:lineRule="auto"/>
        <w:ind w:left="3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11.Схема регулятора давления  газа РД-32М</w:t>
      </w:r>
    </w:p>
    <w:p w:rsidR="005C21CD" w:rsidRPr="005C21CD" w:rsidRDefault="005C21CD" w:rsidP="00E5740F">
      <w:pPr>
        <w:spacing w:after="0" w:line="240" w:lineRule="auto"/>
        <w:ind w:left="3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12.Схема регулятора давления  газа РД-50М</w:t>
      </w:r>
    </w:p>
    <w:p w:rsidR="005C21CD" w:rsidRPr="005C21CD" w:rsidRDefault="005C21CD" w:rsidP="00E5740F">
      <w:pPr>
        <w:spacing w:after="0" w:line="240" w:lineRule="auto"/>
        <w:ind w:left="3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13.Регуляторы давления непрямого действия</w:t>
      </w:r>
    </w:p>
    <w:p w:rsidR="005C21CD" w:rsidRPr="005C21CD" w:rsidRDefault="005C21CD" w:rsidP="005C2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14.Схема регулятора давления непрямого действия типа РДБК</w:t>
      </w:r>
      <w:proofErr w:type="gramStart"/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5C21CD" w:rsidRPr="005C21CD" w:rsidRDefault="005C21CD" w:rsidP="005C2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15.Схема регулятора давления прямого действия типа РДБК1П</w:t>
      </w:r>
    </w:p>
    <w:p w:rsidR="00E5740F" w:rsidRDefault="005C21CD" w:rsidP="005C2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16.Предохранительные запорные клапаны</w:t>
      </w:r>
    </w:p>
    <w:p w:rsidR="005C21CD" w:rsidRPr="005C21CD" w:rsidRDefault="005C21CD" w:rsidP="005C2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17.Предохранительный запорный клапан ПКН (ПКВ)</w:t>
      </w:r>
    </w:p>
    <w:p w:rsidR="005C21CD" w:rsidRPr="005C21CD" w:rsidRDefault="005C21CD" w:rsidP="005C2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18.Предохранительные сбросные клапаны (ПСК)</w:t>
      </w:r>
    </w:p>
    <w:p w:rsidR="005C21CD" w:rsidRPr="005C21CD" w:rsidRDefault="005C21CD" w:rsidP="005C2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19.Сетчатый фильтр типа ФС</w:t>
      </w:r>
    </w:p>
    <w:p w:rsidR="005C21CD" w:rsidRPr="005C21CD" w:rsidRDefault="005C21CD" w:rsidP="005C21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20.Кассетный стальной фильтр типа ФГ</w:t>
      </w:r>
    </w:p>
    <w:p w:rsidR="005C21CD" w:rsidRPr="005C21CD" w:rsidRDefault="005C21CD" w:rsidP="00E57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21.Почвенная коррозия</w:t>
      </w:r>
    </w:p>
    <w:p w:rsidR="005C21CD" w:rsidRPr="005C21CD" w:rsidRDefault="005C21CD" w:rsidP="00E57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21.Коррозия блуждающими токами.</w:t>
      </w:r>
    </w:p>
    <w:p w:rsidR="005C21CD" w:rsidRPr="005C21CD" w:rsidRDefault="005C21CD" w:rsidP="00E57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22.Пассивная защита газопроводов от коррозии</w:t>
      </w:r>
    </w:p>
    <w:p w:rsidR="005C21CD" w:rsidRPr="005C21CD" w:rsidRDefault="005C21CD" w:rsidP="00E57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23.Активная защита газопроводов от коррозии. Защита от коррозии, вызванной  блуждающими токами</w:t>
      </w:r>
    </w:p>
    <w:p w:rsidR="005C21CD" w:rsidRPr="005C21CD" w:rsidRDefault="005C21CD" w:rsidP="00E57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24.Катодная защита от коррозии</w:t>
      </w:r>
    </w:p>
    <w:p w:rsidR="005C21CD" w:rsidRPr="005C21CD" w:rsidRDefault="005C21CD" w:rsidP="00E57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25.Протекторная защита от коррозии</w:t>
      </w:r>
    </w:p>
    <w:p w:rsidR="005C21CD" w:rsidRPr="005C21CD" w:rsidRDefault="005C21CD" w:rsidP="00E57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26.Электродренажная защита от коррозии (прямая и усиленная)</w:t>
      </w:r>
    </w:p>
    <w:p w:rsidR="005C21CD" w:rsidRPr="005C21CD" w:rsidRDefault="005C21CD" w:rsidP="00E57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27.Электродренажная защита от коррозии (поляризованная).</w:t>
      </w:r>
    </w:p>
    <w:p w:rsidR="005C21CD" w:rsidRPr="005C21CD" w:rsidRDefault="005C21CD" w:rsidP="00E57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28.Изолирующее фланцевое соединение. Защита от коррозии надземных газопроводов. Условные графические обозначения установок для защиты </w:t>
      </w:r>
    </w:p>
    <w:p w:rsidR="00E5740F" w:rsidRDefault="005C21CD" w:rsidP="00E57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Calibri" w:hAnsi="Times New Roman" w:cs="Times New Roman"/>
          <w:sz w:val="24"/>
          <w:szCs w:val="24"/>
          <w:lang w:eastAsia="ru-RU"/>
        </w:rPr>
        <w:t>от коррозии.</w:t>
      </w:r>
      <w:bookmarkStart w:id="0" w:name="_Toc382818295"/>
    </w:p>
    <w:p w:rsidR="005C21CD" w:rsidRPr="005C21CD" w:rsidRDefault="005C21CD" w:rsidP="00E574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29.</w:t>
      </w:r>
      <w:bookmarkEnd w:id="0"/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bookmarkStart w:id="1" w:name="OCRUncertain1171"/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сл</w:t>
      </w:r>
      <w:bookmarkEnd w:id="1"/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едовательно</w:t>
      </w:r>
      <w:bookmarkStart w:id="2" w:name="OCRUncertain1174"/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сть</w:t>
      </w:r>
      <w:bookmarkEnd w:id="2"/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проектирования тупиковой газовой </w:t>
      </w:r>
      <w:bookmarkStart w:id="3" w:name="OCRUncertain1176"/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сети</w:t>
      </w:r>
      <w:bookmarkEnd w:id="3"/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(низкого </w:t>
      </w:r>
      <w:bookmarkStart w:id="4" w:name="OCRUncertain1178"/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bookmarkEnd w:id="4"/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авления газа)</w:t>
      </w:r>
    </w:p>
    <w:p w:rsidR="005C21CD" w:rsidRPr="005C21CD" w:rsidRDefault="005C21CD" w:rsidP="00E5740F">
      <w:pPr>
        <w:tabs>
          <w:tab w:val="right" w:pos="9072"/>
        </w:tabs>
        <w:spacing w:after="0" w:line="240" w:lineRule="auto"/>
        <w:ind w:left="510" w:right="848" w:hanging="51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5" w:name="_Toc382818296"/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30.</w:t>
      </w:r>
      <w:bookmarkEnd w:id="5"/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Последовательность проектирования закольцованной 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газовой сети (низкое давление газа)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bookmarkStart w:id="6" w:name="_Toc382818297"/>
    </w:p>
    <w:p w:rsidR="005C21CD" w:rsidRPr="005C21CD" w:rsidRDefault="005C21CD" w:rsidP="00E5740F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31.</w:t>
      </w:r>
      <w:bookmarkStart w:id="7" w:name="_Toc382818298"/>
      <w:bookmarkEnd w:id="6"/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Последовательность проектирования газовых сетей среднего и 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высокого давления</w:t>
      </w:r>
    </w:p>
    <w:p w:rsidR="00F273CE" w:rsidRDefault="005C21CD" w:rsidP="00F273CE">
      <w:pPr>
        <w:widowControl w:val="0"/>
        <w:tabs>
          <w:tab w:val="right" w:pos="9072"/>
        </w:tabs>
        <w:spacing w:after="0" w:line="240" w:lineRule="auto"/>
        <w:ind w:right="851"/>
        <w:contextualSpacing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32. Последовательность гидравлического расчета тупиковых газовых сетей низкого давления, выполненных из стальных труб</w:t>
      </w:r>
      <w:bookmarkEnd w:id="7"/>
    </w:p>
    <w:p w:rsidR="00F273CE" w:rsidRDefault="005C21CD" w:rsidP="00F273CE">
      <w:pPr>
        <w:widowControl w:val="0"/>
        <w:tabs>
          <w:tab w:val="right" w:pos="9072"/>
        </w:tabs>
        <w:spacing w:after="0" w:line="240" w:lineRule="auto"/>
        <w:ind w:right="851"/>
        <w:contextualSpacing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33.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Последовательность гидравлического расчета тупиковых газовых сетей низкого давления, </w:t>
      </w:r>
    </w:p>
    <w:p w:rsidR="005C21CD" w:rsidRPr="005C21CD" w:rsidRDefault="005C21CD" w:rsidP="00F273CE">
      <w:pPr>
        <w:widowControl w:val="0"/>
        <w:tabs>
          <w:tab w:val="right" w:pos="9072"/>
        </w:tabs>
        <w:spacing w:after="0" w:line="240" w:lineRule="auto"/>
        <w:ind w:right="851"/>
        <w:contextualSpacing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выполненных из полиэтиленовых труб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34. Последовательность гидравлического расчета закольцованных газовых       сетей низкого давления, выполненных из стальных труб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35.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Последовательность гидравлического расчета закольцованных газовых сетей низкого давления, выполненных из полиэтиленовых труб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36.</w:t>
      </w:r>
      <w:r w:rsidR="00F273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Последовательность гидравлического расчета  газовых сетей среднего и высокого давления, выполненных из стальных труб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37.</w:t>
      </w:r>
      <w:r w:rsidR="00F273C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Последовательность гидравлического расчета  газовых сетей среднего и высокого давления, выполненных из полиэтиленовых  труб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38. Свойства сжиженных углеводородных газов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39. Транспортировка СУГ по трубопроводам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40. Транспортировка СУГ железнодорожным транспортом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41. Транспортировка СУГ автотранспортом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42.Транспортировка СУГ водным транспортом. Транспортировка СУГ         авиатранспортом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43. Газонаполнительные станции СУГ</w:t>
      </w:r>
      <w:r w:rsidRPr="005C21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 w:rsidRPr="005C21C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44. Перемещение СУГ за счет разности уровней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45. Перемещение СУГ с помощью сжатых газов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46. Перемещение СУГ за счет разности температур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47. Перемещение СУГ компрессором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48. Перемещение СУГ насосами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49.</w:t>
      </w:r>
      <w:r w:rsidRPr="005C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Естественная регазификация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50</w:t>
      </w:r>
      <w:r w:rsidRPr="005C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Искусственная регазификация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51.</w:t>
      </w:r>
      <w:r w:rsidRPr="005C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Емкостные испарители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52.</w:t>
      </w:r>
      <w:r w:rsidRPr="005C2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21C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хема и принцип действия подземного резервуара с </w:t>
      </w:r>
      <w:proofErr w:type="gramStart"/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электрическим</w:t>
      </w:r>
      <w:proofErr w:type="gramEnd"/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регазификатором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53. Проточные испарители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54.</w:t>
      </w:r>
      <w:r w:rsidRPr="005C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Схема и принцип действия проточного испарителя СУГ, разработанного институтом МосгазНИИпроект.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55.</w:t>
      </w:r>
      <w:r w:rsidRPr="005C2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21C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и принцип действия</w:t>
      </w:r>
      <w:r w:rsidRPr="005C2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кожухотрубного испарителя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56.</w:t>
      </w:r>
      <w:r w:rsidRPr="005C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Схема и принцип действия вертикального пленочного испарителя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57. Схема и принцип действия форсуночного испарителя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5831. Схема и принцип действия резервуарной установки с испарителями ИМЭ-10М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59. Принципиальная схема и принцип действия электрического испарителя      ИЭПТ-10 с промежуточным теплоносителем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60. Схема и принцип действия малогабаритного проточного погружного </w:t>
      </w:r>
      <w:bookmarkStart w:id="8" w:name="_GoBack"/>
      <w:bookmarkEnd w:id="8"/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испарителя с промежуточным теплоносителем типа МПИ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61. Схема и принцип действия огневого испарителя типа ИГПО-15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62. Регазификаторы с комбинированной схемой испарения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63. Индивидуальные баллонные установки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64. Групповые баллонные установки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65. Конструкция шкафа для хранения десяти баллонов емкостью по 50 литров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66.</w:t>
      </w:r>
      <w:r w:rsidRPr="005C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Схема размещения групповой баллонной установки в отапливаемом помещении</w:t>
      </w:r>
    </w:p>
    <w:p w:rsidR="005C21CD" w:rsidRPr="005C21CD" w:rsidRDefault="005C21CD" w:rsidP="00F273CE">
      <w:pPr>
        <w:tabs>
          <w:tab w:val="right" w:pos="907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67. Групповые резервуарные установки</w:t>
      </w:r>
    </w:p>
    <w:p w:rsidR="005C21CD" w:rsidRPr="005C21CD" w:rsidRDefault="005C21CD" w:rsidP="00F273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68. Установка подземных резервуаров</w:t>
      </w:r>
    </w:p>
    <w:p w:rsidR="005C21CD" w:rsidRPr="005C21CD" w:rsidRDefault="005C21CD" w:rsidP="00F273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69. Установка с двумя подземными резервуарами и форсуночным 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испарителем</w:t>
      </w:r>
    </w:p>
    <w:p w:rsidR="005C21CD" w:rsidRPr="005C21CD" w:rsidRDefault="005C21CD" w:rsidP="00F273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70. Установка с тремя подземными резервуарами и форсуночным испарителем</w:t>
      </w:r>
    </w:p>
    <w:p w:rsidR="005C21CD" w:rsidRPr="005C21CD" w:rsidRDefault="005C21CD" w:rsidP="00F273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71. Установка с четырьмя подземными резервуарами и форсуночным 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испарителем</w:t>
      </w:r>
    </w:p>
    <w:p w:rsidR="005C21CD" w:rsidRPr="005C21CD" w:rsidRDefault="005C21CD" w:rsidP="00F273C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72.</w:t>
      </w:r>
      <w:r w:rsidRPr="005C21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21CD">
        <w:rPr>
          <w:rFonts w:ascii="Times New Roman" w:eastAsia="Times New Roman" w:hAnsi="Times New Roman" w:cs="Times New Roman"/>
          <w:sz w:val="24"/>
          <w:szCs w:val="20"/>
          <w:lang w:eastAsia="ru-RU"/>
        </w:rPr>
        <w:t>Схема установки для смешения паров СУГ  с воздухом</w:t>
      </w:r>
    </w:p>
    <w:p w:rsidR="004A0B09" w:rsidRDefault="004A0B09" w:rsidP="00F273CE"/>
    <w:sectPr w:rsidR="004A0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4A0B09"/>
    <w:rsid w:val="005C21CD"/>
    <w:rsid w:val="00E5740F"/>
    <w:rsid w:val="00F2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Булах</dc:creator>
  <cp:lastModifiedBy>Василий Булах</cp:lastModifiedBy>
  <cp:revision>1</cp:revision>
  <dcterms:created xsi:type="dcterms:W3CDTF">2016-05-10T16:41:00Z</dcterms:created>
  <dcterms:modified xsi:type="dcterms:W3CDTF">2016-05-10T17:12:00Z</dcterms:modified>
</cp:coreProperties>
</file>