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96" w:rsidRPr="00FF6D82" w:rsidRDefault="007A4A96" w:rsidP="007A4A96">
      <w:pPr>
        <w:widowControl/>
        <w:jc w:val="center"/>
        <w:rPr>
          <w:rFonts w:ascii="Times New Roman" w:hAnsi="Times New Roman" w:cs="Times New Roman"/>
          <w:b/>
          <w:color w:val="auto"/>
          <w:sz w:val="25"/>
          <w:szCs w:val="25"/>
        </w:rPr>
      </w:pPr>
      <w:r w:rsidRPr="00FF6D82">
        <w:rPr>
          <w:rFonts w:ascii="Times New Roman" w:hAnsi="Times New Roman" w:cs="Times New Roman"/>
          <w:b/>
          <w:color w:val="auto"/>
          <w:sz w:val="25"/>
          <w:szCs w:val="25"/>
        </w:rPr>
        <w:t xml:space="preserve">ПРИМЕРНЫЕ ВОПРОСЫ К ЭКЗАМЕНУ ПО УЧЕБНОЙ ДИСЦИПЛИНЕ </w:t>
      </w:r>
    </w:p>
    <w:p w:rsidR="007A4A96" w:rsidRPr="00FF6D82" w:rsidRDefault="007A4A96" w:rsidP="007A4A96">
      <w:pPr>
        <w:widowControl/>
        <w:jc w:val="center"/>
        <w:rPr>
          <w:rFonts w:ascii="Times New Roman" w:hAnsi="Times New Roman" w:cs="Times New Roman"/>
          <w:b/>
          <w:color w:val="auto"/>
          <w:sz w:val="25"/>
          <w:szCs w:val="25"/>
        </w:rPr>
      </w:pPr>
      <w:r w:rsidRPr="00FF6D82">
        <w:rPr>
          <w:rFonts w:ascii="Times New Roman" w:hAnsi="Times New Roman" w:cs="Times New Roman"/>
          <w:b/>
          <w:color w:val="auto"/>
          <w:sz w:val="25"/>
          <w:szCs w:val="25"/>
        </w:rPr>
        <w:t>«ИНТЕГРИРОВАННЫЕ МАРКЕТИНГОВЫЕ КОММУНИКАЦИИ»</w:t>
      </w:r>
    </w:p>
    <w:p w:rsidR="007A4A96" w:rsidRPr="00FF6D82" w:rsidRDefault="007A4A96" w:rsidP="007A4A96">
      <w:pPr>
        <w:widowControl/>
        <w:tabs>
          <w:tab w:val="left" w:pos="56"/>
        </w:tabs>
        <w:jc w:val="center"/>
        <w:rPr>
          <w:rFonts w:ascii="Times New Roman" w:hAnsi="Times New Roman" w:cs="Times New Roman"/>
          <w:b/>
          <w:color w:val="auto"/>
          <w:sz w:val="25"/>
          <w:szCs w:val="25"/>
        </w:rPr>
      </w:pP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Роль коммуникации в маркетинге.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Цели, задачи и виды маркетинговых коммуникаций. Место маркетинговых коммуникаций в комплексе маркетинга.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Этапы развития маркетинговых коммуникаций.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Понятие коммуникативной политики организации. Система маркетинговых коммуникаций организации.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Модели маркетинговых коммуникаций: классическая модель, 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трансакционный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 маркетинг, маркетинг взаимоотношений.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Составляющие процесса маркетинговых коммуникаций.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Типы целевых аудиторий в маркетинговых коммуникациях. «Портрет» потребителя.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Понятие лояльности в маркетинге. Лояльность и удовлетворенность клиентов.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Программы повышения лояльности клиентов. Понятие CRM.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Стратегия и тактика в маркетинге.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Виды стратегий в маркетинге: бизнес-стратегия, маркетинговая стратегия, стратегия маркетинговых коммуникаций.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Влияние стратегии деятельности фирмы на коммуникативную политику. Конкурентные стратегии.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Процедура планирования маркетинговой деятельности.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Структура плана маркетинговых коммуникаций и контроль эффективности его выполнения.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Понятие, стратегии и этапы процесса позиционирования. 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Репозиционирование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>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>
        <w:rPr>
          <w:rFonts w:ascii="Times New Roman" w:eastAsia="TimesNewRomanPSMT" w:hAnsi="Times New Roman" w:cs="Times New Roman"/>
          <w:sz w:val="25"/>
          <w:szCs w:val="25"/>
        </w:rPr>
        <w:t>ATL, BTL, TTL</w:t>
      </w: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 инструменты маркетинговых коммуникаций.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Реклама как инструмент маркетинговых коммуникаций. Виды рекламы.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Public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 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relations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 как инструмент маркетинговых коммуникаций: формы, возможности и ограничения.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Стимулирование сбыта как инструмент маркетинговых коммуникаций. 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Прямой маркетинг (прямые продажи) как инструмент маркетинговых коммуникаций. Принципы и виды прямого маркетинга.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Выставки как инструмент маркетинговых коммуникаций.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Упаковка как инструмент маркетинговых коммуникаций. 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Партизанский маркетинг: понятие, виды, возможности и ограничения. 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Спонсорство и благотворительность как инструменты маркетинговых коммуникаций.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Послепродажное обслуживание как инструмент маркетинговых коммуникаций.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Фирменный стиль как инструмент маркетинговых коммуникаций.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Мерчендайзинг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 как инструмент маркетинговых коммуникаций. Технологии и приемы 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мерчендайзинга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>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Возможности 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Internet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 как канала маркетинговых коммуникаций. 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Планирование и организация компании по продвижению в сети 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Internet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. 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Маркетинговые коммуникации в сфере массового потребления: специфика сектора, воздействие на параметры коммуникации.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Процесс принятия решения о покупке. Коммуникативная политика по отношению к конечным потребителям.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Маркетинговые коммуникации на рынке организаций: специфика сектора, воздействие на параметры коммуникации.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Особенности покупателей на рынке предприятий. Типы покупателей.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lastRenderedPageBreak/>
        <w:t>Коммуникативная политика по отношению к покупателям-предприятиям.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Маркетинговые коммуникации в сфере услуг: специфика сектора, воздействие на параметры коммуникации.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Понятия «бренд», «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брендинг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>» и «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брендирование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>». Виды и процесс создания брендов.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Концепция интегрированных маркетинговых коммуникаций (ИМК) и история её развития. </w:t>
      </w:r>
    </w:p>
    <w:p w:rsidR="007A4A96" w:rsidRPr="00FF6D82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Понятие синергетического эффекта маркетинговых коммуникаций. Маркетинг-</w:t>
      </w:r>
      <w:proofErr w:type="spellStart"/>
      <w:r w:rsidRPr="00FF6D82">
        <w:rPr>
          <w:rFonts w:ascii="Times New Roman" w:eastAsia="TimesNewRomanPSMT" w:hAnsi="Times New Roman" w:cs="Times New Roman"/>
          <w:sz w:val="25"/>
          <w:szCs w:val="25"/>
        </w:rPr>
        <w:t>микс</w:t>
      </w:r>
      <w:proofErr w:type="spellEnd"/>
      <w:r w:rsidRPr="00FF6D82">
        <w:rPr>
          <w:rFonts w:ascii="Times New Roman" w:eastAsia="TimesNewRomanPSMT" w:hAnsi="Times New Roman" w:cs="Times New Roman"/>
          <w:sz w:val="25"/>
          <w:szCs w:val="25"/>
        </w:rPr>
        <w:t xml:space="preserve"> в интеграции маркетинговых коммуникаций.</w:t>
      </w:r>
    </w:p>
    <w:p w:rsidR="007A4A96" w:rsidRPr="007A4A96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FF6D82">
        <w:rPr>
          <w:rFonts w:ascii="Times New Roman" w:eastAsia="TimesNewRomanPSMT" w:hAnsi="Times New Roman" w:cs="Times New Roman"/>
          <w:sz w:val="25"/>
          <w:szCs w:val="25"/>
        </w:rPr>
        <w:t>Уровни и факторы эффективности интеграции маркетинговых коммуникаций.</w:t>
      </w:r>
    </w:p>
    <w:p w:rsidR="00570BAA" w:rsidRPr="007A4A96" w:rsidRDefault="007A4A96" w:rsidP="007A4A96">
      <w:pPr>
        <w:pStyle w:val="ListParagraph"/>
        <w:widowControl/>
        <w:numPr>
          <w:ilvl w:val="0"/>
          <w:numId w:val="1"/>
        </w:numPr>
        <w:tabs>
          <w:tab w:val="left" w:pos="56"/>
        </w:tabs>
        <w:autoSpaceDE w:val="0"/>
        <w:autoSpaceDN w:val="0"/>
        <w:adjustRightInd w:val="0"/>
        <w:ind w:left="-14" w:hanging="14"/>
        <w:jc w:val="both"/>
        <w:rPr>
          <w:rFonts w:ascii="Times New Roman" w:eastAsia="TimesNewRomanPSMT" w:hAnsi="Times New Roman" w:cs="Times New Roman"/>
          <w:sz w:val="25"/>
          <w:szCs w:val="25"/>
        </w:rPr>
      </w:pPr>
      <w:bookmarkStart w:id="0" w:name="_GoBack"/>
      <w:bookmarkEnd w:id="0"/>
      <w:r w:rsidRPr="007A4A96">
        <w:rPr>
          <w:rFonts w:ascii="Times New Roman" w:eastAsia="TimesNewRomanPSMT" w:hAnsi="Times New Roman" w:cs="Times New Roman"/>
          <w:sz w:val="25"/>
          <w:szCs w:val="25"/>
        </w:rPr>
        <w:t>Понятие эффективности маркетинговых коммуникаций: экономическая и коммуникативная эффективность.</w:t>
      </w:r>
    </w:p>
    <w:sectPr w:rsidR="00570BAA" w:rsidRPr="007A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E60"/>
    <w:multiLevelType w:val="hybridMultilevel"/>
    <w:tmpl w:val="911E9D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55"/>
    <w:rsid w:val="00570BAA"/>
    <w:rsid w:val="007A4A96"/>
    <w:rsid w:val="009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9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A4A9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9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A4A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2016-12-22T16:03:00Z</dcterms:created>
  <dcterms:modified xsi:type="dcterms:W3CDTF">2016-12-22T16:03:00Z</dcterms:modified>
</cp:coreProperties>
</file>