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D7" w:rsidRPr="00EE01D7" w:rsidRDefault="00EE01D7" w:rsidP="00EE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2F55C9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EE0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2F55C9" w:rsidRPr="002F55C9">
        <w:rPr>
          <w:rFonts w:ascii="Times New Roman" w:hAnsi="Times New Roman" w:cs="Times New Roman"/>
          <w:b/>
          <w:bCs/>
          <w:sz w:val="28"/>
          <w:szCs w:val="28"/>
        </w:rPr>
        <w:t>ИННОВАЦИОННОЕ РАЗВИТИЕ РЕСПУБЛИКИ БЕЛАРУСЬ НА СОВРЕМЕННОМ ЭТАПЕ</w:t>
      </w:r>
    </w:p>
    <w:p w:rsidR="00582131" w:rsidRDefault="00582131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5C9" w:rsidRPr="002F55C9" w:rsidRDefault="002F55C9" w:rsidP="002F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2F55C9">
        <w:rPr>
          <w:rFonts w:ascii="Times New Roman" w:hAnsi="Times New Roman" w:cs="Times New Roman"/>
          <w:b/>
          <w:sz w:val="28"/>
          <w:szCs w:val="28"/>
        </w:rPr>
        <w:t>Краткий аналитический обзор состояния и перспектив инновационного развития Республики Беларусь.</w:t>
      </w:r>
    </w:p>
    <w:p w:rsidR="002F55C9" w:rsidRPr="002F55C9" w:rsidRDefault="002F55C9" w:rsidP="002F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F55C9">
        <w:rPr>
          <w:rFonts w:ascii="Times New Roman" w:hAnsi="Times New Roman" w:cs="Times New Roman"/>
          <w:b/>
          <w:sz w:val="28"/>
          <w:szCs w:val="28"/>
        </w:rPr>
        <w:t xml:space="preserve">Государственная инновационная политика и нормативно-правовая база регулирования инновационной деятельности в Республике Беларусь. </w:t>
      </w:r>
    </w:p>
    <w:p w:rsidR="002F55C9" w:rsidRPr="002F55C9" w:rsidRDefault="002F55C9" w:rsidP="002F55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2F55C9"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инновационного развития Республики Беларусь на современном этапе. </w:t>
      </w:r>
    </w:p>
    <w:p w:rsidR="00EE01D7" w:rsidRDefault="00EE01D7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2F55C9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2F55C9">
        <w:rPr>
          <w:rFonts w:ascii="Times New Roman" w:hAnsi="Times New Roman" w:cs="Times New Roman"/>
          <w:b/>
          <w:sz w:val="28"/>
          <w:szCs w:val="28"/>
        </w:rPr>
        <w:t>Краткий аналитический обзор состояния и перспектив инновационного развития Республики Беларусь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F7" w:rsidRPr="00F90FD1" w:rsidRDefault="00F90FD1" w:rsidP="00BF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63A0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.1 раскрыты в Презентации к теме </w:t>
      </w:r>
      <w:r w:rsidR="00663A0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663A08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2F55C9">
        <w:rPr>
          <w:rFonts w:ascii="Times New Roman" w:hAnsi="Times New Roman" w:cs="Times New Roman"/>
          <w:b/>
          <w:sz w:val="28"/>
          <w:szCs w:val="28"/>
        </w:rPr>
        <w:t>Государственная инновационная политика и нормативно-правовая база регулирования инновационной деятельности в Республике Беларусь</w:t>
      </w:r>
    </w:p>
    <w:p w:rsidR="00BF21F7" w:rsidRDefault="00BF21F7" w:rsidP="00BF21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7EC" w:rsidRPr="00E624EC" w:rsidRDefault="005947EC" w:rsidP="005947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624EC">
        <w:rPr>
          <w:rFonts w:ascii="Times New Roman" w:hAnsi="Times New Roman" w:cs="Times New Roman"/>
          <w:sz w:val="28"/>
          <w:szCs w:val="28"/>
        </w:rPr>
        <w:t>Основы Государственной инновационной политики (ГИП) в Республике Беларусь четко прописаны в двух Законах (</w:t>
      </w:r>
      <w:r w:rsidRPr="00E624E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 Республики Беларусь от 10.07.2012 г. № 425-З «О государственной инновационной политике и инновационной деятельности в Республике Беларусь» и </w:t>
      </w:r>
      <w:r w:rsidRPr="00E624EC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Беларусь от 19.01.1993 г. № 2105-XII «Об основах государственной научно-технической политики»). Опорными документами государственного уровня, принятыми в Республике Беларусь, и способствующими реализации ГИП в стране, являются </w:t>
      </w:r>
      <w:r w:rsidRPr="00E624EC">
        <w:rPr>
          <w:rFonts w:ascii="Times New Roman" w:hAnsi="Times New Roman" w:cs="Times New Roman"/>
          <w:sz w:val="28"/>
          <w:szCs w:val="28"/>
        </w:rPr>
        <w:t xml:space="preserve">Государственная программа инновационного развития Республики Беларусь на 2011–2015 годы, и </w:t>
      </w:r>
      <w:r w:rsidRPr="00E624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Стратегия технологического развития Республики Беларусь на период до 2015 года.</w:t>
      </w:r>
    </w:p>
    <w:p w:rsidR="00000000" w:rsidRDefault="00547D8F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В Государственной программе инновационного развития Республики Беларусь на 2011 - 2015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61477" w:rsidRPr="00547D8F">
        <w:rPr>
          <w:rFonts w:ascii="Times New Roman" w:hAnsi="Times New Roman" w:cs="Times New Roman"/>
          <w:b/>
          <w:bCs/>
          <w:sz w:val="28"/>
          <w:szCs w:val="28"/>
        </w:rPr>
        <w:t xml:space="preserve">сновная цель </w:t>
      </w:r>
      <w:r w:rsidR="00761477" w:rsidRPr="00547D8F">
        <w:rPr>
          <w:rFonts w:ascii="Times New Roman" w:hAnsi="Times New Roman" w:cs="Times New Roman"/>
          <w:sz w:val="28"/>
          <w:szCs w:val="28"/>
        </w:rPr>
        <w:t xml:space="preserve">– создание конкурентоспособной экономики, основанной на использовании </w:t>
      </w:r>
      <w:r w:rsidR="00761477" w:rsidRPr="00547D8F">
        <w:rPr>
          <w:rFonts w:ascii="Times New Roman" w:hAnsi="Times New Roman" w:cs="Times New Roman"/>
          <w:sz w:val="28"/>
          <w:szCs w:val="28"/>
        </w:rPr>
        <w:t>прогрессивных технологий и стимулов повышения инновационной активности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61477" w:rsidRPr="00547D8F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 w:rsidR="00761477" w:rsidRPr="00547D8F">
        <w:rPr>
          <w:rFonts w:ascii="Times New Roman" w:hAnsi="Times New Roman" w:cs="Times New Roman"/>
          <w:sz w:val="28"/>
          <w:szCs w:val="28"/>
        </w:rPr>
        <w:t xml:space="preserve"> – достойное место белорусской экономики на Едином экономическом пространстве и в международном разделении труда путем модернизации </w:t>
      </w:r>
      <w:r w:rsidR="00761477" w:rsidRPr="00547D8F">
        <w:rPr>
          <w:rFonts w:ascii="Times New Roman" w:hAnsi="Times New Roman" w:cs="Times New Roman"/>
          <w:sz w:val="28"/>
          <w:szCs w:val="28"/>
        </w:rPr>
        <w:t>национальной экономики в соответствии с приоритетными направлениями научно-технической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D8F" w:rsidRDefault="00547D8F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Реализация мероприятий Государственной программы направлена на достижение в 2015 году следующих прогнозных показателей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00000" w:rsidRPr="00547D8F" w:rsidRDefault="00761477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увеличение удельного веса отгруженн</w:t>
      </w:r>
      <w:r w:rsidRPr="00547D8F">
        <w:rPr>
          <w:rFonts w:ascii="Times New Roman" w:hAnsi="Times New Roman" w:cs="Times New Roman"/>
          <w:bCs/>
          <w:sz w:val="28"/>
          <w:szCs w:val="28"/>
        </w:rPr>
        <w:t>ой инновационной продукции до 20 – 21 %;</w:t>
      </w:r>
    </w:p>
    <w:p w:rsidR="00000000" w:rsidRPr="00547D8F" w:rsidRDefault="00761477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lastRenderedPageBreak/>
        <w:t>увеличение доли инновационно-активных организаций не менее 40 %;</w:t>
      </w:r>
    </w:p>
    <w:p w:rsidR="00000000" w:rsidRPr="00547D8F" w:rsidRDefault="00761477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рост внутренних затрат на научные исследования и разработки до 2,5 – 2,9 % от ВВП;</w:t>
      </w:r>
    </w:p>
    <w:p w:rsidR="00000000" w:rsidRPr="00547D8F" w:rsidRDefault="00761477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 xml:space="preserve">рост объема экспорта наукоемкой и высокотехнологичной продукции </w:t>
      </w:r>
      <w:r w:rsidRPr="00547D8F">
        <w:rPr>
          <w:rFonts w:ascii="Times New Roman" w:hAnsi="Times New Roman" w:cs="Times New Roman"/>
          <w:bCs/>
          <w:sz w:val="28"/>
          <w:szCs w:val="28"/>
        </w:rPr>
        <w:t>(товаров, работ, услуг) - не менее 7950 млн долларов США;</w:t>
      </w:r>
    </w:p>
    <w:p w:rsidR="00000000" w:rsidRPr="00547D8F" w:rsidRDefault="00761477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снижение материалоемкости произведенной в 2015 году продукции в организациях промышленности и сельского хозяйства на 5 – 7 % по сравнению с 2010 годом;</w:t>
      </w:r>
    </w:p>
    <w:p w:rsidR="00000000" w:rsidRPr="00547D8F" w:rsidRDefault="00761477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снижение энергоемкости ВВП в 2015 году не ме</w:t>
      </w:r>
      <w:r w:rsidRPr="00547D8F">
        <w:rPr>
          <w:rFonts w:ascii="Times New Roman" w:hAnsi="Times New Roman" w:cs="Times New Roman"/>
          <w:bCs/>
          <w:sz w:val="28"/>
          <w:szCs w:val="28"/>
        </w:rPr>
        <w:t>нее чем на 29 – 32 % по сравнению с 2010 годом.</w:t>
      </w:r>
    </w:p>
    <w:p w:rsidR="00547D8F" w:rsidRPr="00547D8F" w:rsidRDefault="00547D8F" w:rsidP="00547D8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 xml:space="preserve">По ряду направлений Республика Беларусь удерживает позиции среди лидеров в разработке фундаментальных </w:t>
      </w:r>
      <w:r>
        <w:rPr>
          <w:rFonts w:ascii="Times New Roman" w:hAnsi="Times New Roman" w:cs="Times New Roman"/>
          <w:bCs/>
          <w:sz w:val="28"/>
          <w:szCs w:val="28"/>
        </w:rPr>
        <w:t>исследований</w:t>
      </w:r>
      <w:r w:rsidRPr="00547D8F">
        <w:rPr>
          <w:rFonts w:ascii="Times New Roman" w:hAnsi="Times New Roman" w:cs="Times New Roman"/>
          <w:bCs/>
          <w:sz w:val="28"/>
          <w:szCs w:val="28"/>
        </w:rPr>
        <w:t xml:space="preserve"> в области физики, математики, новых материалов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47D8F">
        <w:rPr>
          <w:rFonts w:ascii="Times New Roman" w:hAnsi="Times New Roman" w:cs="Times New Roman"/>
          <w:bCs/>
          <w:sz w:val="28"/>
          <w:szCs w:val="28"/>
        </w:rPr>
        <w:t>Направления сотрудничества с мировым научным сообществом:</w:t>
      </w:r>
    </w:p>
    <w:p w:rsidR="00000000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информатизация и программное обеспечение;</w:t>
      </w:r>
    </w:p>
    <w:p w:rsidR="00000000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нанотехнологии и наноматериалы;</w:t>
      </w:r>
    </w:p>
    <w:p w:rsidR="00000000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энергоэффективные технологии;</w:t>
      </w:r>
    </w:p>
    <w:p w:rsidR="00000000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генетика и биотехнологии;</w:t>
      </w:r>
    </w:p>
    <w:p w:rsidR="00000000" w:rsidRPr="00547D8F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экологическая устойчивость;</w:t>
      </w:r>
    </w:p>
    <w:p w:rsidR="00000000" w:rsidRDefault="00761477" w:rsidP="00547D8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8F">
        <w:rPr>
          <w:rFonts w:ascii="Times New Roman" w:hAnsi="Times New Roman" w:cs="Times New Roman"/>
          <w:bCs/>
          <w:sz w:val="28"/>
          <w:szCs w:val="28"/>
        </w:rPr>
        <w:t>ра</w:t>
      </w:r>
      <w:r w:rsidR="00547D8F">
        <w:rPr>
          <w:rFonts w:ascii="Times New Roman" w:hAnsi="Times New Roman" w:cs="Times New Roman"/>
          <w:bCs/>
          <w:sz w:val="28"/>
          <w:szCs w:val="28"/>
        </w:rPr>
        <w:t>диационная безопасность и другие.</w:t>
      </w:r>
    </w:p>
    <w:p w:rsidR="001437F6" w:rsidRPr="00597B99" w:rsidRDefault="001437F6" w:rsidP="00597B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B99">
        <w:rPr>
          <w:rFonts w:ascii="Times New Roman" w:hAnsi="Times New Roman" w:cs="Times New Roman"/>
          <w:bCs/>
          <w:sz w:val="28"/>
          <w:szCs w:val="28"/>
        </w:rPr>
        <w:t xml:space="preserve">Результаты прикладных исследований и разработок обеспечили достижения в области автомобиле- и тракторостроения, современных телевизоров, городского транспорта, медицинского оборудования и лекарственных препаратов, сенсорной техники. Однако, </w:t>
      </w:r>
      <w:r w:rsidR="00597B99" w:rsidRPr="00597B99">
        <w:rPr>
          <w:rFonts w:ascii="Times New Roman" w:hAnsi="Times New Roman" w:cs="Times New Roman"/>
          <w:bCs/>
          <w:sz w:val="28"/>
          <w:szCs w:val="28"/>
        </w:rPr>
        <w:t>в</w:t>
      </w:r>
      <w:r w:rsidRPr="00597B99">
        <w:rPr>
          <w:rFonts w:ascii="Times New Roman" w:hAnsi="Times New Roman" w:cs="Times New Roman"/>
          <w:bCs/>
          <w:sz w:val="28"/>
          <w:szCs w:val="28"/>
        </w:rPr>
        <w:t xml:space="preserve"> Республике Беларусь инновационная активность реального сектора крайне низка</w:t>
      </w:r>
      <w:r w:rsidR="00597B99" w:rsidRPr="00597B99">
        <w:rPr>
          <w:rFonts w:ascii="Times New Roman" w:hAnsi="Times New Roman" w:cs="Times New Roman"/>
          <w:bCs/>
          <w:sz w:val="28"/>
          <w:szCs w:val="28"/>
        </w:rPr>
        <w:t>, в сравнении с развитыми странами.</w:t>
      </w:r>
    </w:p>
    <w:p w:rsidR="00F90FD1" w:rsidRPr="00597B99" w:rsidRDefault="00F90FD1" w:rsidP="00597B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E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63A08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 раскрыты в Презентации к теме </w:t>
      </w:r>
      <w:r w:rsidR="00663A08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959CB" w:rsidRDefault="003959CB" w:rsidP="00F90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E27" w:rsidRDefault="00E0222B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63A08" w:rsidRPr="002F55C9">
        <w:rPr>
          <w:rFonts w:ascii="Times New Roman" w:hAnsi="Times New Roman" w:cs="Times New Roman"/>
          <w:b/>
          <w:sz w:val="28"/>
          <w:szCs w:val="28"/>
        </w:rPr>
        <w:t>Стратегические приоритеты инновационного развития Республики Беларусь на современном этапе</w:t>
      </w:r>
    </w:p>
    <w:p w:rsidR="00597B99" w:rsidRDefault="00597B99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11D1B" w:rsidRPr="00597B99" w:rsidRDefault="00A11D1B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</w:rPr>
        <w:t xml:space="preserve">Белорусская модель формирования социально-ориентированной рыночной экономики и стратегия устойчивого развития предусматривают проведение эффективной инновационной и инвестиционной политики. </w:t>
      </w:r>
    </w:p>
    <w:p w:rsidR="00A11D1B" w:rsidRPr="00597B99" w:rsidRDefault="00A11D1B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</w:rPr>
        <w:t>Достижение главной стратегической цели инновационной политики - формирование конкурентной экономики - возможно за счет кардинального переоснащения и создания новых организаций и производств в промышленности, строительстве, энергетике, жилищно-коммунальном хозяйстве, транспорте, связи, медицине и других отраслях на основе внедрения передовых достижений науки и техники.</w:t>
      </w:r>
    </w:p>
    <w:p w:rsidR="00A11D1B" w:rsidRPr="00597B99" w:rsidRDefault="00A11D1B" w:rsidP="00A11D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</w:rPr>
        <w:t xml:space="preserve">В целях продолжения работы по созданию инновационной экономики разработана Государственная программа инновационного развития Республики Беларусь на 2011–2015 годы (далее — Государственная </w:t>
      </w:r>
      <w:r w:rsidRPr="00597B99">
        <w:rPr>
          <w:sz w:val="28"/>
          <w:szCs w:val="28"/>
        </w:rPr>
        <w:lastRenderedPageBreak/>
        <w:t>программа). Ее формирование предусматривает принятие в установленном порядке Концепции Государственной программы инновационного развития Республики Беларусь на 2011–2015 годы (далее — Концепция). Разработанная с учетом Проекта перечня и структуры приоритетных направлений научно-технической деятельности в Республике Беларусь на 2011–2015 годы (одобрен Постановлением Общего собрания Национальной академии наук Беларуси от 9 октября 2009 г. № 7). Концепция обеспечит единый согласованный подход к разработке Государственной программы органов государственного управления Республики Беларусь и иных государственных организаций, подчиненных Правительству Республики Беларусь, Национальной академии наук Беларуси, облисполкомов, Минского горисполкома, государственного учреждения «Администрация Парка высоких технологий», учреждений и организаций народнохозяйственного комплекса, образовательных учреждений, а также иных заинтересованных физических и юридических лиц.</w:t>
      </w:r>
    </w:p>
    <w:p w:rsidR="00A11D1B" w:rsidRPr="00597B99" w:rsidRDefault="00A11D1B" w:rsidP="00A11D1B">
      <w:pPr>
        <w:pStyle w:val="newncpi0"/>
        <w:ind w:firstLine="567"/>
        <w:rPr>
          <w:rStyle w:val="number"/>
          <w:sz w:val="28"/>
          <w:szCs w:val="28"/>
        </w:rPr>
      </w:pPr>
      <w:r w:rsidRPr="00597B99">
        <w:rPr>
          <w:sz w:val="28"/>
          <w:szCs w:val="28"/>
        </w:rPr>
        <w:t>На соо</w:t>
      </w:r>
      <w:r w:rsidR="00597B99">
        <w:rPr>
          <w:sz w:val="28"/>
          <w:szCs w:val="28"/>
        </w:rPr>
        <w:t>тветствие</w:t>
      </w:r>
      <w:r w:rsidRPr="00597B99">
        <w:rPr>
          <w:sz w:val="28"/>
          <w:szCs w:val="28"/>
        </w:rPr>
        <w:t xml:space="preserve"> данной Концепции принято </w:t>
      </w:r>
      <w:r w:rsidRPr="00597B99">
        <w:rPr>
          <w:rStyle w:val="name"/>
          <w:sz w:val="28"/>
          <w:szCs w:val="28"/>
        </w:rPr>
        <w:t>Постановление </w:t>
      </w:r>
      <w:r w:rsidRPr="00597B99">
        <w:rPr>
          <w:rStyle w:val="promulgator"/>
          <w:sz w:val="28"/>
          <w:szCs w:val="28"/>
        </w:rPr>
        <w:t xml:space="preserve">Совета министров Республики Беларусь от </w:t>
      </w:r>
      <w:r w:rsidRPr="00597B99">
        <w:rPr>
          <w:rStyle w:val="datepr"/>
          <w:sz w:val="28"/>
          <w:szCs w:val="28"/>
        </w:rPr>
        <w:t xml:space="preserve">26 мая </w:t>
      </w:r>
      <w:smartTag w:uri="urn:schemas-microsoft-com:office:smarttags" w:element="metricconverter">
        <w:smartTagPr>
          <w:attr w:name="ProductID" w:val="2011 г"/>
        </w:smartTagPr>
        <w:r w:rsidRPr="00597B99">
          <w:rPr>
            <w:rStyle w:val="datepr"/>
            <w:sz w:val="28"/>
            <w:szCs w:val="28"/>
          </w:rPr>
          <w:t>2011 г</w:t>
        </w:r>
      </w:smartTag>
      <w:r w:rsidRPr="00597B99">
        <w:rPr>
          <w:rStyle w:val="datepr"/>
          <w:sz w:val="28"/>
          <w:szCs w:val="28"/>
        </w:rPr>
        <w:t>.</w:t>
      </w:r>
      <w:r w:rsidRPr="00597B99">
        <w:rPr>
          <w:rStyle w:val="number"/>
          <w:sz w:val="28"/>
          <w:szCs w:val="28"/>
        </w:rPr>
        <w:t xml:space="preserve"> № 669 «</w:t>
      </w:r>
      <w:r w:rsidRPr="00597B99">
        <w:rPr>
          <w:sz w:val="28"/>
          <w:szCs w:val="28"/>
        </w:rPr>
        <w:t>О Государственной программе инновационного развития Республики Беларусь на 2011–2015 годы</w:t>
      </w:r>
      <w:r w:rsidRPr="00597B99">
        <w:rPr>
          <w:rStyle w:val="number"/>
          <w:sz w:val="28"/>
          <w:szCs w:val="28"/>
        </w:rPr>
        <w:t>», согласно которой: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  <w:u w:val="single"/>
        </w:rPr>
        <w:t>Основными задачами являются</w:t>
      </w:r>
      <w:r w:rsidRPr="00597B99">
        <w:rPr>
          <w:sz w:val="28"/>
          <w:szCs w:val="28"/>
        </w:rPr>
        <w:t>: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создание принципиально новых высокотехнологичных и наукоемких секторов экономики (биотехнологии, нанотехнологии, микроэлектроника, технологии тонкой химии, информационные технологии, производство новых материалов, лазерно-оптические технологии, коммуникационные технологии, атомная и возобновляемая энергетика, генная инженерия);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достижение максимального роста добавленной стоимости в производстве на основе его технологического обновления, образования многопрофильных холдингов, кластерных структур;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снижение материало-, энерго- и импортоемкости производства, повышение его экологобезопасности;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формирование благоприятных правовых, экономических и социальных условий для технологического развития национальной экономики и привлечения инвестиций (в том числе прямых иностранных инвестиций и венчурного капитала);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развитие рынка научно-технической и инновационной продукции, повышение эффективности охраны интеллектуальной собственности, совершенствование механизмов коммерциализации результатов инновационной деятельности;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ускорение инновационного развития регионов;</w:t>
      </w:r>
    </w:p>
    <w:p w:rsidR="00A11D1B" w:rsidRPr="00597B99" w:rsidRDefault="00A11D1B" w:rsidP="00A11D1B">
      <w:pPr>
        <w:pStyle w:val="newncpi0"/>
        <w:ind w:firstLine="567"/>
        <w:rPr>
          <w:sz w:val="28"/>
          <w:szCs w:val="28"/>
        </w:rPr>
      </w:pPr>
      <w:r w:rsidRPr="00597B99">
        <w:rPr>
          <w:sz w:val="28"/>
          <w:szCs w:val="28"/>
        </w:rPr>
        <w:t>формирование инновационного общества, создание эффективной системы непрерывной подготовки, переподготовки и повышения квалификации кадров, специалистов и руководителей для инновационной экономики.</w:t>
      </w:r>
    </w:p>
    <w:p w:rsidR="00A11D1B" w:rsidRPr="00597B99" w:rsidRDefault="00A11D1B" w:rsidP="00A11D1B">
      <w:pPr>
        <w:pStyle w:val="af1"/>
        <w:tabs>
          <w:tab w:val="left" w:pos="0"/>
        </w:tabs>
        <w:ind w:firstLine="567"/>
        <w:jc w:val="both"/>
        <w:rPr>
          <w:szCs w:val="28"/>
        </w:rPr>
      </w:pPr>
      <w:r w:rsidRPr="00597B99">
        <w:rPr>
          <w:szCs w:val="28"/>
        </w:rPr>
        <w:lastRenderedPageBreak/>
        <w:t>Основные мероприятия данной Государственной Программы представлены в табл</w:t>
      </w:r>
      <w:r w:rsidR="00597B99">
        <w:rPr>
          <w:szCs w:val="28"/>
        </w:rPr>
        <w:t>ице 2.1</w:t>
      </w:r>
      <w:r w:rsidRPr="00597B99">
        <w:rPr>
          <w:szCs w:val="28"/>
        </w:rPr>
        <w:t>.</w:t>
      </w:r>
    </w:p>
    <w:p w:rsidR="00A11D1B" w:rsidRPr="00597B99" w:rsidRDefault="00A11D1B" w:rsidP="00A11D1B">
      <w:pPr>
        <w:pStyle w:val="af1"/>
        <w:tabs>
          <w:tab w:val="left" w:pos="0"/>
        </w:tabs>
        <w:ind w:firstLine="567"/>
        <w:jc w:val="right"/>
        <w:rPr>
          <w:i/>
          <w:szCs w:val="28"/>
        </w:rPr>
      </w:pPr>
      <w:r w:rsidRPr="00597B99">
        <w:rPr>
          <w:i/>
          <w:szCs w:val="28"/>
        </w:rPr>
        <w:t xml:space="preserve">Таблица </w:t>
      </w:r>
      <w:r w:rsidR="00597B99" w:rsidRPr="00597B99">
        <w:rPr>
          <w:i/>
          <w:szCs w:val="28"/>
        </w:rPr>
        <w:t>2</w:t>
      </w:r>
      <w:r w:rsidRPr="00597B99">
        <w:rPr>
          <w:i/>
          <w:szCs w:val="28"/>
        </w:rPr>
        <w:t>.</w:t>
      </w:r>
      <w:r w:rsidR="00597B99" w:rsidRPr="00597B99">
        <w:rPr>
          <w:i/>
          <w:szCs w:val="28"/>
        </w:rPr>
        <w:t>1</w:t>
      </w:r>
    </w:p>
    <w:p w:rsidR="00A11D1B" w:rsidRPr="00597B99" w:rsidRDefault="00A11D1B" w:rsidP="00A11D1B">
      <w:pPr>
        <w:pStyle w:val="af1"/>
        <w:tabs>
          <w:tab w:val="left" w:pos="0"/>
        </w:tabs>
        <w:ind w:firstLine="567"/>
        <w:rPr>
          <w:b/>
          <w:szCs w:val="28"/>
        </w:rPr>
      </w:pPr>
      <w:r w:rsidRPr="00597B99">
        <w:rPr>
          <w:b/>
          <w:szCs w:val="28"/>
        </w:rPr>
        <w:t>Основные мероприятия Государственной программы инновационного развития Республики Беларусь на 2011–2015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7"/>
      </w:tblGrid>
      <w:tr w:rsidR="00A11D1B" w:rsidRPr="00597B99" w:rsidTr="00735A5C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1D1B" w:rsidRPr="00597B99" w:rsidRDefault="00A11D1B" w:rsidP="00735A5C">
            <w:pPr>
              <w:pStyle w:val="table10"/>
              <w:rPr>
                <w:sz w:val="24"/>
                <w:szCs w:val="24"/>
              </w:rPr>
            </w:pPr>
            <w:r w:rsidRPr="00597B99">
              <w:rPr>
                <w:sz w:val="24"/>
                <w:szCs w:val="24"/>
              </w:rPr>
              <w:t>создание новых высокотехнологичных наукоемких предприятий и производств</w:t>
            </w:r>
          </w:p>
        </w:tc>
      </w:tr>
      <w:tr w:rsidR="00A11D1B" w:rsidRPr="00597B99" w:rsidTr="00735A5C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1D1B" w:rsidRPr="00597B99" w:rsidRDefault="00A11D1B" w:rsidP="00735A5C">
            <w:pPr>
              <w:pStyle w:val="table10"/>
              <w:rPr>
                <w:sz w:val="24"/>
                <w:szCs w:val="24"/>
              </w:rPr>
            </w:pPr>
            <w:r w:rsidRPr="00597B99">
              <w:rPr>
                <w:sz w:val="24"/>
                <w:szCs w:val="24"/>
              </w:rPr>
              <w:t>модернизация действующих предприятий и производств на основе внедрения инновационных технологий, технологического переоснащения производств для освоения и выпуска новой продукции</w:t>
            </w:r>
          </w:p>
        </w:tc>
      </w:tr>
      <w:tr w:rsidR="00A11D1B" w:rsidRPr="00597B99" w:rsidTr="00735A5C">
        <w:trPr>
          <w:trHeight w:val="240"/>
        </w:trPr>
        <w:tc>
          <w:tcPr>
            <w:tcW w:w="34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11D1B" w:rsidRPr="00597B99" w:rsidRDefault="00A11D1B" w:rsidP="00735A5C">
            <w:pPr>
              <w:pStyle w:val="table10"/>
              <w:rPr>
                <w:sz w:val="24"/>
                <w:szCs w:val="24"/>
              </w:rPr>
            </w:pPr>
            <w:r w:rsidRPr="00597B99">
              <w:rPr>
                <w:sz w:val="24"/>
                <w:szCs w:val="24"/>
              </w:rPr>
              <w:t>реализация инновационных проектов, включенных:</w:t>
            </w:r>
            <w:r w:rsidRPr="00597B99">
              <w:rPr>
                <w:sz w:val="24"/>
                <w:szCs w:val="24"/>
              </w:rPr>
              <w:br/>
              <w:t>в перечень важнейших проектов по созданию новых предприятий и производств, имеющих определяющее значение для инновационного развития Республики Беларусь;</w:t>
            </w:r>
            <w:r w:rsidRPr="00597B99">
              <w:rPr>
                <w:sz w:val="24"/>
                <w:szCs w:val="24"/>
              </w:rPr>
              <w:br/>
              <w:t>в планы (программы) развития видов экономической деятельности, закрепленных за республиканскими органами государственного управления и иными государственными организациями, подчиненными Правительству Республики Беларусь, НАН Беларуси, планы (программы) развития областей и г. Минска;</w:t>
            </w:r>
            <w:r w:rsidRPr="00597B99">
              <w:rPr>
                <w:sz w:val="24"/>
                <w:szCs w:val="24"/>
              </w:rPr>
              <w:br/>
              <w:t>в государственные комплексные целевые научно-технические программы и государственные научно-технические программы.</w:t>
            </w:r>
          </w:p>
        </w:tc>
      </w:tr>
    </w:tbl>
    <w:p w:rsidR="00A11D1B" w:rsidRPr="001A07C9" w:rsidRDefault="00A11D1B" w:rsidP="00A11D1B">
      <w:pPr>
        <w:pStyle w:val="af1"/>
        <w:tabs>
          <w:tab w:val="left" w:pos="0"/>
        </w:tabs>
        <w:ind w:firstLine="567"/>
        <w:jc w:val="both"/>
        <w:rPr>
          <w:sz w:val="24"/>
        </w:rPr>
      </w:pPr>
    </w:p>
    <w:p w:rsidR="00A11D1B" w:rsidRPr="00597B99" w:rsidRDefault="00A11D1B" w:rsidP="00A11D1B">
      <w:pPr>
        <w:pStyle w:val="ca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1D1B" w:rsidRPr="00597B99" w:rsidRDefault="00A11D1B" w:rsidP="00597B99">
      <w:pPr>
        <w:pStyle w:val="cap1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sz w:val="28"/>
          <w:szCs w:val="28"/>
          <w:shd w:val="clear" w:color="auto" w:fill="FFFFFF"/>
        </w:rPr>
      </w:pPr>
      <w:r w:rsidRPr="00597B99">
        <w:rPr>
          <w:sz w:val="28"/>
          <w:szCs w:val="28"/>
        </w:rPr>
        <w:t>Так же Постановлением</w:t>
      </w:r>
      <w:r w:rsidRPr="00597B99">
        <w:rPr>
          <w:rStyle w:val="apple-converted-space"/>
          <w:sz w:val="28"/>
          <w:szCs w:val="28"/>
        </w:rPr>
        <w:t> </w:t>
      </w:r>
      <w:r w:rsidRPr="00597B99">
        <w:rPr>
          <w:sz w:val="28"/>
          <w:szCs w:val="28"/>
        </w:rPr>
        <w:t>Совета Министров</w:t>
      </w:r>
      <w:r w:rsidRPr="00597B99">
        <w:rPr>
          <w:rStyle w:val="apple-converted-space"/>
          <w:sz w:val="28"/>
          <w:szCs w:val="28"/>
        </w:rPr>
        <w:t> </w:t>
      </w:r>
      <w:r w:rsidRPr="00597B99">
        <w:rPr>
          <w:sz w:val="28"/>
          <w:szCs w:val="28"/>
        </w:rPr>
        <w:t xml:space="preserve">Республики Беларусь 01.10.2010 № 1420 </w:t>
      </w:r>
      <w:r w:rsidRPr="00597B99">
        <w:rPr>
          <w:bCs/>
          <w:sz w:val="28"/>
          <w:szCs w:val="28"/>
          <w:shd w:val="clear" w:color="auto" w:fill="FFFFFF"/>
        </w:rPr>
        <w:t xml:space="preserve">утверждена </w:t>
      </w:r>
      <w:r w:rsidRPr="00597B99">
        <w:rPr>
          <w:bCs/>
          <w:i/>
          <w:sz w:val="28"/>
          <w:szCs w:val="28"/>
          <w:shd w:val="clear" w:color="auto" w:fill="FFFFFF"/>
        </w:rPr>
        <w:t>Стратегия технологического развития Республики Беларусь на период до 2015 года.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целью Стратегии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t>  является создание конкурентоспособной экономики, основанной на использовании прогрессивных технологий и стимулов повышения инновационной активности субъектов предпринимательской деятельности.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 xml:space="preserve">Реализация стратегии направлена на решение следующих </w:t>
      </w:r>
      <w:r w:rsidRPr="00597B99"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модернизация традиционных отраслей экономики в целях увеличения производительности труда, снижения энерго- и материалоемкости, создания новых видов продукции, обеспечивающих снижение импортозависимости республики и наращивание экспортного потенциала;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создание и развитие производств, обеспечивающих выпуск продукции нового поколения;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разработка технологий, позволяющих наладить выпуск конкурентоспособной на мировых рынках продукции с высокой добавленной стоимостью;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создание безопасных условий труда на рабочих местах.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u w:val="single"/>
        </w:rPr>
        <w:t>Стратегия ориентирована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t xml:space="preserve"> на разработку и внедрение отечественных и привлечение зарубежных прогрессивных технологий для развития производств V и VI технологических укладов (информационно-коммуникационных и биологических технологий) и технологическое совершенствование традиционных производств IV технологического уклада. </w:t>
      </w:r>
      <w:r w:rsidRPr="00597B99">
        <w:rPr>
          <w:rFonts w:ascii="Times New Roman" w:eastAsia="Times New Roman" w:hAnsi="Times New Roman" w:cs="Times New Roman"/>
          <w:sz w:val="28"/>
          <w:szCs w:val="28"/>
          <w:u w:val="single"/>
        </w:rPr>
        <w:t>Важнейшими аспектами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t xml:space="preserve"> стратегии являются решение проблем формирования человеческого капитала, отвечающего требованиям времени, экономических условий, стимулирующих бизнес на осуществление инноваций, и 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lastRenderedPageBreak/>
        <w:t>национальной инновационной системы как развитой системы институтов (норм и правил), обеспечивающей эффективное взаимодействие участников инновационных процессов.</w:t>
      </w:r>
    </w:p>
    <w:p w:rsidR="00A11D1B" w:rsidRPr="00597B99" w:rsidRDefault="00A11D1B" w:rsidP="00597B99">
      <w:pPr>
        <w:pStyle w:val="cap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7B99">
        <w:rPr>
          <w:sz w:val="28"/>
          <w:szCs w:val="28"/>
          <w:u w:val="single"/>
        </w:rPr>
        <w:t xml:space="preserve">В основу Стратегии заложен отраслевой принцип – </w:t>
      </w:r>
      <w:r w:rsidRPr="00597B99">
        <w:rPr>
          <w:sz w:val="28"/>
          <w:szCs w:val="28"/>
        </w:rPr>
        <w:t xml:space="preserve">развитие традиционных секторов экономики Республики Беларусь, таких, как: </w:t>
      </w:r>
      <w:r w:rsidRPr="00597B99">
        <w:rPr>
          <w:bCs/>
          <w:sz w:val="28"/>
          <w:szCs w:val="28"/>
        </w:rPr>
        <w:t>обрабатывающая промышленность</w:t>
      </w:r>
      <w:r w:rsidRPr="00597B99">
        <w:rPr>
          <w:b/>
          <w:bCs/>
          <w:sz w:val="28"/>
          <w:szCs w:val="28"/>
        </w:rPr>
        <w:t xml:space="preserve"> </w:t>
      </w:r>
      <w:r w:rsidRPr="00597B99">
        <w:rPr>
          <w:b/>
          <w:sz w:val="28"/>
          <w:szCs w:val="28"/>
        </w:rPr>
        <w:t>(</w:t>
      </w:r>
      <w:r w:rsidRPr="00597B99">
        <w:rPr>
          <w:sz w:val="28"/>
          <w:szCs w:val="28"/>
        </w:rPr>
        <w:t>производство машин и оборудования, металлургическое производство, химическое производство,</w:t>
      </w:r>
      <w:r w:rsidRPr="00597B99">
        <w:rPr>
          <w:b/>
          <w:sz w:val="28"/>
          <w:szCs w:val="28"/>
        </w:rPr>
        <w:t xml:space="preserve"> </w:t>
      </w:r>
      <w:r w:rsidRPr="00597B99">
        <w:rPr>
          <w:sz w:val="28"/>
          <w:szCs w:val="28"/>
        </w:rPr>
        <w:t xml:space="preserve">производство нефтепродуктов, текстильное и швейное производство, производство кожи, изделий из кожи, обуви, производство строительных материалов, обработка древесины и производство изделий из дерева, целлюлозно-бумажное производство, производство пищевых продуктов); </w:t>
      </w:r>
      <w:r w:rsidRPr="00597B99">
        <w:rPr>
          <w:bCs/>
          <w:sz w:val="28"/>
          <w:szCs w:val="28"/>
        </w:rPr>
        <w:t>производство и распределение электроэнергии, газа и воды; горнодобывающая промышленность (</w:t>
      </w:r>
      <w:r w:rsidRPr="00597B99">
        <w:rPr>
          <w:sz w:val="28"/>
          <w:szCs w:val="28"/>
        </w:rPr>
        <w:t>добыча нефти, добыча и переработка торфа); строительство; сельское хозяйство (сельское хозяйство, лесное хозяйство).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Ожидаемыми результатами реализации стратегии предусмотрено достижение к 2015 году: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доли инновационно-активных предприятий в общем количестве предприятий промышленности не менее 40 процентов;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доли накопленной амортизации в стоимости активной части основных средств промышленных предприятий не более 53 процентов;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удельного веса отгруженной инновационной продукции организациями, основными видами экономической деятельности которых является производство промышленной продукции, в объеме отгруженной продукции 20–21 процента;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доли затрат на приобретение машин, оборудования, транспортных средств, инструмента и инвентаря в общем объеме инвестиций в основной капитал – 50 процентов;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доли наукоемкой и высокотехнологичной продукции в общем объеме белорусского экспорта – 12–14 процентов;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внутренних затрат на научные исследования и разработки – 2,5–2,9 процента к ВВП;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расходов республиканского бюджета на научную, научно-техническую и инновационную деятельность – 1,2–1,35 процента к ВВП;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затрат субъектов предпринимательской деятельности (коммерческого сектора) на исследования и разработки – не менее 1,3–1,55 процента к ВВП;</w:t>
      </w:r>
    </w:p>
    <w:p w:rsidR="00A11D1B" w:rsidRPr="00597B99" w:rsidRDefault="00A11D1B" w:rsidP="00597B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</w:rPr>
        <w:t>объема экспорта инновационной продукции – не менее 13,8 млрд. долларов США.</w:t>
      </w:r>
    </w:p>
    <w:p w:rsidR="005947EC" w:rsidRPr="00597B99" w:rsidRDefault="005947EC" w:rsidP="005947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B9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Белорусский инновационный фонд (Белинфонд)</w:t>
      </w:r>
      <w:r w:rsidRPr="00597B9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B9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 в соответствии с постановлением Совета Министров Республики Беларусь от 12.11.98 № 1739 для усиления поддержки инновационной деятельности.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 w:line="138" w:lineRule="atLeast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bCs/>
          <w:i/>
          <w:sz w:val="28"/>
          <w:szCs w:val="28"/>
          <w:bdr w:val="none" w:sz="0" w:space="0" w:color="auto" w:frame="1"/>
        </w:rPr>
        <w:t xml:space="preserve">Основными задачами и направленияим деятельности Белинфонда </w:t>
      </w:r>
      <w:r w:rsidRPr="00597B99">
        <w:rPr>
          <w:bCs/>
          <w:sz w:val="28"/>
          <w:szCs w:val="28"/>
          <w:bdr w:val="none" w:sz="0" w:space="0" w:color="auto" w:frame="1"/>
        </w:rPr>
        <w:t>являются</w:t>
      </w:r>
      <w:r w:rsidRPr="00597B99">
        <w:rPr>
          <w:sz w:val="28"/>
          <w:szCs w:val="28"/>
          <w:bdr w:val="none" w:sz="0" w:space="0" w:color="auto" w:frame="1"/>
        </w:rPr>
        <w:t>: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финансовая поддержка инновационных проектов на возвратной основе;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lastRenderedPageBreak/>
        <w:t>- финансирование промышленного освоения результатов исследований и разработок, высокоэффективных изобретений, имеющих важное народнохозяйственное значение;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содействие созданию и освоению наукоемкой продукции и новейших технологий;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содействие созданию и развитию в стране производств, основанных на новых и высоких технологиях;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поддержка развития инфраструктуры рынка технологий, научно-инновационного предпринимательства;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привлечение иностранных инвестиций;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97B99">
        <w:rPr>
          <w:sz w:val="28"/>
          <w:szCs w:val="28"/>
          <w:bdr w:val="none" w:sz="0" w:space="0" w:color="auto" w:frame="1"/>
        </w:rPr>
        <w:t>- проведение выставок, ярмарок научно-технической продукции, семинаров, конференций, симпозиумов и др. научно-практических мероприятий;- финансовая поддержка информационного обеспечения инновационной деятельности, издание научно-технической и научно-методической литературы (включая периодические издания, каталоги инновационных проектов).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Бюджет Белинфонда</w:t>
      </w:r>
      <w:r w:rsidRPr="00597B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формируется за счет: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бюджетных средств;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добровольных взносов министерств, органов государственного управления, объединений, предприятий, организаций;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вкладов иностранных фирм и организаций;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физических лиц;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поступлений от уставной деятельности;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банковских процентов.</w:t>
      </w:r>
    </w:p>
    <w:p w:rsidR="005947EC" w:rsidRPr="00597B99" w:rsidRDefault="005947EC" w:rsidP="005947EC">
      <w:pPr>
        <w:shd w:val="clear" w:color="auto" w:fill="FFFFFF"/>
        <w:spacing w:after="0" w:line="138" w:lineRule="atLeast"/>
        <w:ind w:firstLine="567"/>
        <w:jc w:val="both"/>
        <w:rPr>
          <w:rFonts w:ascii="Arial" w:eastAsia="Times New Roman" w:hAnsi="Arial" w:cs="Arial"/>
          <w:i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</w:rPr>
        <w:t>Общий порядок выделения средств Белинфондом</w:t>
      </w:r>
    </w:p>
    <w:p w:rsidR="005947EC" w:rsidRPr="00597B99" w:rsidRDefault="005947EC" w:rsidP="005947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Средства Белинфонда выделяются субъектам инновационной деятельности на конкурсной основе и на договорных условиях. Они направляются на финансирование инновационной части проекта, связанной с  выполнением научно-исследовательских и опытно-конструкторских работ. Объём выделяемых средств может составлять до 50% от общего объема средств, выделяемых для финансирования всего проекта. Остальная часть средств должна быть представлена из других внебюджетных источников.</w:t>
      </w:r>
    </w:p>
    <w:p w:rsidR="005947EC" w:rsidRPr="00597B99" w:rsidRDefault="005947EC" w:rsidP="005947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Возврат средств, выделяемых Белинфондом на финансирование проектов, производится на основании договора, заключенного между Белинфондом и заявителем. Возврату подлежит сумма средств, перечисленная Белинфондом исполнителю в размере 100% и сумма средств, определяемая умножением перечисленных Белинфондом исполнителю средств на средневзвешенную ставку рефинансирования Национального банка Республики Беларусь.</w:t>
      </w:r>
    </w:p>
    <w:p w:rsidR="005947EC" w:rsidRPr="00597B99" w:rsidRDefault="005947EC" w:rsidP="005947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Государственн</w:t>
      </w:r>
      <w:r w:rsidR="00597B99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</w:t>
      </w:r>
      <w:r w:rsidR="00597B99"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Беларуси на 2011–2015 годы предусмотрено создание 7 –ми кластеров: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химический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г. Гродно (ядро - ОАО "Гродно Азот", ОАО "ГродноХимволокно", УО "Гродненский государственный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университет", БГУ, УО "Белорусский государственный технологический университет");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нефтехимический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Новополоцке (ядро - ОАО "Нафтан" и УО "Полоцкий государственный университет", Научно-исследовательский институт физико-химических проблем БГУ);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агромашиностроительный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Гомеле (ядро - РУП "Гомсельмаш" и УО "Гомельский государственный технический университет имени П.П.Сухого");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автотракторостроительный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Минске (ядро - РУП "Минский тракторный завод", РУП "Минский автомобильный завод", РУП "Минский моторный завод", БНТУ, ГУВПО "Белорусско-Российский университет", УО "Белорусский государственный технологический университет");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химико-текстильный 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Могилеве (ядро - ОАО "Могилевхимволокно", ОАО "Моготекс", УО "Могилевский государственный университет продовольствия", УО "Белорусский государственный технологический университет");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IT-кластер 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Минске (ядро - резиденты ПВТ, ГНУ "Объединенный институт проблем информатики НАН Беларуси", БГУ, УО "БГУИР", БНТУ);</w:t>
      </w:r>
    </w:p>
    <w:p w:rsidR="005947EC" w:rsidRPr="00597B99" w:rsidRDefault="005947EC" w:rsidP="005947EC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B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кластер льна</w:t>
      </w:r>
      <w:r w:rsidRPr="00597B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Орше (ядро- РУПТП «Оршанский льнокомбинат»).</w:t>
      </w:r>
    </w:p>
    <w:p w:rsidR="005947EC" w:rsidRPr="00597B99" w:rsidRDefault="005947EC" w:rsidP="005947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6D625B"/>
          <w:sz w:val="28"/>
          <w:szCs w:val="28"/>
        </w:rPr>
      </w:pPr>
      <w:r w:rsidRPr="00597B99">
        <w:rPr>
          <w:color w:val="000000"/>
          <w:sz w:val="28"/>
          <w:szCs w:val="28"/>
          <w:bdr w:val="none" w:sz="0" w:space="0" w:color="auto" w:frame="1"/>
        </w:rPr>
        <w:t xml:space="preserve">На основе методологии определения значимых кластерных групп картографированы регионы Республики Беларусь (рис. </w:t>
      </w:r>
      <w:r w:rsidR="00597B99">
        <w:rPr>
          <w:color w:val="000000"/>
          <w:sz w:val="28"/>
          <w:szCs w:val="28"/>
          <w:bdr w:val="none" w:sz="0" w:space="0" w:color="auto" w:frame="1"/>
        </w:rPr>
        <w:t>2</w:t>
      </w:r>
      <w:r w:rsidRPr="00597B99">
        <w:rPr>
          <w:color w:val="000000"/>
          <w:sz w:val="28"/>
          <w:szCs w:val="28"/>
          <w:bdr w:val="none" w:sz="0" w:space="0" w:color="auto" w:frame="1"/>
        </w:rPr>
        <w:t>.</w:t>
      </w:r>
      <w:r w:rsidR="00597B99">
        <w:rPr>
          <w:color w:val="000000"/>
          <w:sz w:val="28"/>
          <w:szCs w:val="28"/>
          <w:bdr w:val="none" w:sz="0" w:space="0" w:color="auto" w:frame="1"/>
        </w:rPr>
        <w:t>1</w:t>
      </w:r>
      <w:r w:rsidRPr="00597B99">
        <w:rPr>
          <w:color w:val="000000"/>
          <w:sz w:val="28"/>
          <w:szCs w:val="28"/>
          <w:bdr w:val="none" w:sz="0" w:space="0" w:color="auto" w:frame="1"/>
        </w:rPr>
        <w:t>). </w:t>
      </w:r>
    </w:p>
    <w:p w:rsidR="005947EC" w:rsidRDefault="005947EC" w:rsidP="005947E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9"/>
          <w:color w:val="000000"/>
          <w:bdr w:val="none" w:sz="0" w:space="0" w:color="auto" w:frame="1"/>
          <w:lang w:val="en-US"/>
        </w:rPr>
      </w:pPr>
      <w:r>
        <w:rPr>
          <w:rFonts w:ascii="Verdana" w:hAnsi="Verdana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4816611" cy="2652799"/>
            <wp:effectExtent l="19050" t="0" r="3039" b="0"/>
            <wp:docPr id="6" name="Рисунок 1" descr="aa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823" cy="265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84" w:rsidRPr="006D2584" w:rsidRDefault="006D2584" w:rsidP="005947E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Style w:val="a9"/>
          <w:b w:val="0"/>
          <w:color w:val="000000"/>
          <w:sz w:val="28"/>
          <w:szCs w:val="28"/>
          <w:bdr w:val="none" w:sz="0" w:space="0" w:color="auto" w:frame="1"/>
        </w:rPr>
      </w:pP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Рисунок</w:t>
      </w:r>
      <w:r w:rsidR="005947EC"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5947EC"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1</w:t>
      </w:r>
      <w:r w:rsidR="005947EC"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- Карта региональных  кластеров  Беларуси </w:t>
      </w:r>
    </w:p>
    <w:p w:rsidR="006D2584" w:rsidRDefault="006D2584" w:rsidP="005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7EC" w:rsidRPr="006D2584" w:rsidRDefault="005947EC" w:rsidP="005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6D625B"/>
          <w:sz w:val="28"/>
          <w:szCs w:val="28"/>
        </w:rPr>
      </w:pPr>
      <w:r w:rsidRPr="006D2584">
        <w:rPr>
          <w:rFonts w:ascii="Times New Roman" w:eastAsia="Times New Roman" w:hAnsi="Times New Roman" w:cs="Times New Roman"/>
          <w:sz w:val="28"/>
          <w:szCs w:val="28"/>
        </w:rPr>
        <w:t xml:space="preserve">Задачи кластерной политики в Беларуси </w:t>
      </w:r>
      <w:r w:rsidR="006D2584" w:rsidRPr="006D258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представлены в таблице 2.2.</w:t>
      </w:r>
    </w:p>
    <w:p w:rsidR="005947EC" w:rsidRDefault="005947EC" w:rsidP="006D2584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rFonts w:ascii="Arial" w:hAnsi="Arial" w:cs="Arial"/>
          <w:color w:val="6D625B"/>
          <w:sz w:val="11"/>
          <w:szCs w:val="11"/>
        </w:rPr>
      </w:pPr>
      <w:r>
        <w:rPr>
          <w:rFonts w:ascii="Verdana" w:hAnsi="Verdana" w:cs="Arial"/>
          <w:b/>
          <w:bCs/>
          <w:noProof/>
          <w:color w:val="000000"/>
          <w:sz w:val="12"/>
          <w:szCs w:val="12"/>
          <w:bdr w:val="none" w:sz="0" w:space="0" w:color="auto" w:frame="1"/>
        </w:rPr>
        <w:lastRenderedPageBreak/>
        <w:drawing>
          <wp:inline distT="0" distB="0" distL="0" distR="0">
            <wp:extent cx="7076914" cy="4546121"/>
            <wp:effectExtent l="19050" t="0" r="0" b="0"/>
            <wp:docPr id="7" name="Рисунок 3" descr="aa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k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646" cy="45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84" w:rsidRDefault="006D2584" w:rsidP="005947EC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bdr w:val="none" w:sz="0" w:space="0" w:color="auto" w:frame="1"/>
        </w:rPr>
      </w:pPr>
    </w:p>
    <w:p w:rsidR="005947EC" w:rsidRPr="006D2584" w:rsidRDefault="005947EC" w:rsidP="006D2584">
      <w:pPr>
        <w:pStyle w:val="listparagraph"/>
        <w:shd w:val="clear" w:color="auto" w:fill="FFFFFF"/>
        <w:spacing w:before="0" w:beforeAutospacing="0" w:after="0" w:afterAutospacing="0"/>
        <w:ind w:firstLine="567"/>
        <w:jc w:val="both"/>
        <w:rPr>
          <w:color w:val="6D625B"/>
          <w:sz w:val="28"/>
          <w:szCs w:val="28"/>
        </w:rPr>
      </w:pPr>
      <w:r w:rsidRPr="006D2584">
        <w:rPr>
          <w:color w:val="000000"/>
          <w:sz w:val="28"/>
          <w:szCs w:val="28"/>
          <w:bdr w:val="none" w:sz="0" w:space="0" w:color="auto" w:frame="1"/>
        </w:rPr>
        <w:t>Для реализации кластерной политики необходимы меры государственной поддержки кластеризации (рис</w:t>
      </w:r>
      <w:r w:rsidR="006D2584" w:rsidRPr="006D2584">
        <w:rPr>
          <w:color w:val="000000"/>
          <w:sz w:val="28"/>
          <w:szCs w:val="28"/>
          <w:bdr w:val="none" w:sz="0" w:space="0" w:color="auto" w:frame="1"/>
        </w:rPr>
        <w:t>унок</w:t>
      </w:r>
      <w:r w:rsidRPr="006D258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D2584" w:rsidRPr="006D2584">
        <w:rPr>
          <w:color w:val="000000"/>
          <w:sz w:val="28"/>
          <w:szCs w:val="28"/>
          <w:bdr w:val="none" w:sz="0" w:space="0" w:color="auto" w:frame="1"/>
        </w:rPr>
        <w:t>2</w:t>
      </w:r>
      <w:r w:rsidRPr="006D2584">
        <w:rPr>
          <w:color w:val="000000"/>
          <w:sz w:val="28"/>
          <w:szCs w:val="28"/>
          <w:bdr w:val="none" w:sz="0" w:space="0" w:color="auto" w:frame="1"/>
        </w:rPr>
        <w:t>.</w:t>
      </w:r>
      <w:r w:rsidR="006D2584" w:rsidRPr="006D2584">
        <w:rPr>
          <w:color w:val="000000"/>
          <w:sz w:val="28"/>
          <w:szCs w:val="28"/>
          <w:bdr w:val="none" w:sz="0" w:space="0" w:color="auto" w:frame="1"/>
        </w:rPr>
        <w:t>2</w:t>
      </w:r>
      <w:r w:rsidRPr="006D2584">
        <w:rPr>
          <w:color w:val="000000"/>
          <w:sz w:val="28"/>
          <w:szCs w:val="28"/>
          <w:bdr w:val="none" w:sz="0" w:space="0" w:color="auto" w:frame="1"/>
        </w:rPr>
        <w:t>).</w:t>
      </w:r>
    </w:p>
    <w:p w:rsidR="005947EC" w:rsidRDefault="005947EC" w:rsidP="005947EC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6D625B"/>
          <w:sz w:val="11"/>
          <w:szCs w:val="11"/>
        </w:rPr>
      </w:pPr>
      <w:r>
        <w:rPr>
          <w:rFonts w:ascii="Verdana" w:hAnsi="Verdana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3752967" cy="2708412"/>
            <wp:effectExtent l="19050" t="0" r="0" b="0"/>
            <wp:docPr id="8" name="Рисунок 5" descr="aa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k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357" cy="271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7EC" w:rsidRPr="006D2584" w:rsidRDefault="006D2584" w:rsidP="006D25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6D625B"/>
          <w:sz w:val="28"/>
          <w:szCs w:val="28"/>
        </w:rPr>
      </w:pPr>
      <w:r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Рисунок 2.2</w:t>
      </w:r>
      <w:r w:rsidR="005947EC"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 xml:space="preserve"> – Рекомендуемые</w:t>
      </w:r>
      <w:r w:rsidR="005947EC" w:rsidRPr="006D258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5947EC" w:rsidRPr="006D2584">
        <w:rPr>
          <w:rStyle w:val="a9"/>
          <w:b w:val="0"/>
          <w:color w:val="000000"/>
          <w:sz w:val="28"/>
          <w:szCs w:val="28"/>
          <w:bdr w:val="none" w:sz="0" w:space="0" w:color="auto" w:frame="1"/>
        </w:rPr>
        <w:t>меры государственной поддержки кластеризации</w:t>
      </w:r>
    </w:p>
    <w:p w:rsidR="005947EC" w:rsidRPr="00180EC7" w:rsidRDefault="005947EC" w:rsidP="00594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FD1" w:rsidRPr="00F90FD1" w:rsidRDefault="00F90FD1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63A0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</w:t>
      </w:r>
      <w:r w:rsidR="00663A08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878E9" w:rsidRPr="00B878E9" w:rsidRDefault="00B878E9" w:rsidP="00B878E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878E9" w:rsidRPr="00B878E9" w:rsidSect="00EB52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77" w:rsidRDefault="00761477" w:rsidP="008A48DE">
      <w:pPr>
        <w:spacing w:after="0" w:line="240" w:lineRule="auto"/>
      </w:pPr>
      <w:r>
        <w:separator/>
      </w:r>
    </w:p>
  </w:endnote>
  <w:endnote w:type="continuationSeparator" w:id="1">
    <w:p w:rsidR="00761477" w:rsidRDefault="00761477" w:rsidP="008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77" w:rsidRDefault="00761477" w:rsidP="008A48DE">
      <w:pPr>
        <w:spacing w:after="0" w:line="240" w:lineRule="auto"/>
      </w:pPr>
      <w:r>
        <w:separator/>
      </w:r>
    </w:p>
  </w:footnote>
  <w:footnote w:type="continuationSeparator" w:id="1">
    <w:p w:rsidR="00761477" w:rsidRDefault="00761477" w:rsidP="008A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525"/>
      <w:docPartObj>
        <w:docPartGallery w:val="Page Numbers (Top of Page)"/>
        <w:docPartUnique/>
      </w:docPartObj>
    </w:sdtPr>
    <w:sdtContent>
      <w:p w:rsidR="008A48DE" w:rsidRDefault="002565B2">
        <w:pPr>
          <w:pStyle w:val="ab"/>
          <w:jc w:val="right"/>
        </w:pPr>
        <w:fldSimple w:instr=" PAGE   \* MERGEFORMAT ">
          <w:r w:rsidR="006D2584">
            <w:rPr>
              <w:noProof/>
            </w:rPr>
            <w:t>8</w:t>
          </w:r>
        </w:fldSimple>
      </w:p>
    </w:sdtContent>
  </w:sdt>
  <w:p w:rsidR="008A48DE" w:rsidRDefault="008A48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.85pt;height:8.85pt" o:bullet="t">
        <v:imagedata r:id="rId1" o:title="art3BCB"/>
      </v:shape>
    </w:pict>
  </w:numPicBullet>
  <w:abstractNum w:abstractNumId="0">
    <w:nsid w:val="01CF03C2"/>
    <w:multiLevelType w:val="hybridMultilevel"/>
    <w:tmpl w:val="BD9A735A"/>
    <w:lvl w:ilvl="0" w:tplc="D1C63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E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84D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E5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27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82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0C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CF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029"/>
    <w:multiLevelType w:val="hybridMultilevel"/>
    <w:tmpl w:val="5CD48D82"/>
    <w:lvl w:ilvl="0" w:tplc="45264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4C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5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48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1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C77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CC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A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7A61AD"/>
    <w:multiLevelType w:val="hybridMultilevel"/>
    <w:tmpl w:val="0D8AD428"/>
    <w:lvl w:ilvl="0" w:tplc="88AA7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C3E96">
      <w:start w:val="5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3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A3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05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C68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B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06F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21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24B12"/>
    <w:multiLevelType w:val="hybridMultilevel"/>
    <w:tmpl w:val="0CA8FE0E"/>
    <w:lvl w:ilvl="0" w:tplc="F9362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0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C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0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69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B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A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460A5"/>
    <w:multiLevelType w:val="hybridMultilevel"/>
    <w:tmpl w:val="E7CABE28"/>
    <w:lvl w:ilvl="0" w:tplc="79007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CE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2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8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9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0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CA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68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65857"/>
    <w:multiLevelType w:val="hybridMultilevel"/>
    <w:tmpl w:val="8334FA84"/>
    <w:lvl w:ilvl="0" w:tplc="21342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8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ED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A4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D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E1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43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42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16AC9"/>
    <w:multiLevelType w:val="hybridMultilevel"/>
    <w:tmpl w:val="FB7C7D42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E1F0519"/>
    <w:multiLevelType w:val="hybridMultilevel"/>
    <w:tmpl w:val="A3BE312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EF81D6D"/>
    <w:multiLevelType w:val="hybridMultilevel"/>
    <w:tmpl w:val="12FA7F0E"/>
    <w:lvl w:ilvl="0" w:tplc="9E9E79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D8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C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C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B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92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2E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3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61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185273"/>
    <w:multiLevelType w:val="hybridMultilevel"/>
    <w:tmpl w:val="8760E102"/>
    <w:lvl w:ilvl="0" w:tplc="A6102A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44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4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CC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1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E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29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C4E9C"/>
    <w:multiLevelType w:val="hybridMultilevel"/>
    <w:tmpl w:val="180E1732"/>
    <w:lvl w:ilvl="0" w:tplc="DBE2E94C">
      <w:start w:val="1"/>
      <w:numFmt w:val="bullet"/>
      <w:lvlText w:val=""/>
      <w:lvlJc w:val="left"/>
      <w:pPr>
        <w:tabs>
          <w:tab w:val="num" w:pos="1763"/>
        </w:tabs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0EF5B21"/>
    <w:multiLevelType w:val="hybridMultilevel"/>
    <w:tmpl w:val="8C10E01A"/>
    <w:lvl w:ilvl="0" w:tplc="EA5A0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2C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EA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C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EC4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99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8C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73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4E387922"/>
    <w:multiLevelType w:val="hybridMultilevel"/>
    <w:tmpl w:val="CB9EE33C"/>
    <w:lvl w:ilvl="0" w:tplc="31F4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EA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0B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6B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5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C67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0A0FD4"/>
    <w:multiLevelType w:val="multilevel"/>
    <w:tmpl w:val="EACA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B76E2"/>
    <w:multiLevelType w:val="multilevel"/>
    <w:tmpl w:val="33A6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773A2"/>
    <w:multiLevelType w:val="hybridMultilevel"/>
    <w:tmpl w:val="9B5472DA"/>
    <w:lvl w:ilvl="0" w:tplc="89586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E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1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5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B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2D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00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5B6BA4"/>
    <w:multiLevelType w:val="hybridMultilevel"/>
    <w:tmpl w:val="6C42A246"/>
    <w:lvl w:ilvl="0" w:tplc="D2F230E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2354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8391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66640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CD768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EADA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C05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030D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69F8E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D7C2160"/>
    <w:multiLevelType w:val="hybridMultilevel"/>
    <w:tmpl w:val="52D4013A"/>
    <w:lvl w:ilvl="0" w:tplc="82B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9E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62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20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CE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1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C5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E25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0C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0961C51"/>
    <w:multiLevelType w:val="hybridMultilevel"/>
    <w:tmpl w:val="0E588326"/>
    <w:lvl w:ilvl="0" w:tplc="C540A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8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07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2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28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6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2A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6203B"/>
    <w:multiLevelType w:val="hybridMultilevel"/>
    <w:tmpl w:val="47FAB192"/>
    <w:lvl w:ilvl="0" w:tplc="C47C7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8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E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2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89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ED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B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2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0B7260"/>
    <w:multiLevelType w:val="hybridMultilevel"/>
    <w:tmpl w:val="50BE1994"/>
    <w:lvl w:ilvl="0" w:tplc="7B2E34C2">
      <w:start w:val="1"/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3B07C5"/>
    <w:multiLevelType w:val="hybridMultilevel"/>
    <w:tmpl w:val="686C76C2"/>
    <w:lvl w:ilvl="0" w:tplc="881E4E12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8816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0507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C2B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432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4B99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FD5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A902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E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E319E5"/>
    <w:multiLevelType w:val="hybridMultilevel"/>
    <w:tmpl w:val="5BF89484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B808A4"/>
    <w:multiLevelType w:val="hybridMultilevel"/>
    <w:tmpl w:val="3CEA4052"/>
    <w:lvl w:ilvl="0" w:tplc="08DC3D4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A6BA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0722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980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634A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ED6B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80C9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DB0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890A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13"/>
  </w:num>
  <w:num w:numId="9">
    <w:abstractNumId w:val="12"/>
  </w:num>
  <w:num w:numId="10">
    <w:abstractNumId w:val="7"/>
  </w:num>
  <w:num w:numId="11">
    <w:abstractNumId w:val="18"/>
  </w:num>
  <w:num w:numId="12">
    <w:abstractNumId w:val="24"/>
  </w:num>
  <w:num w:numId="13">
    <w:abstractNumId w:val="10"/>
  </w:num>
  <w:num w:numId="14">
    <w:abstractNumId w:val="6"/>
  </w:num>
  <w:num w:numId="15">
    <w:abstractNumId w:val="22"/>
  </w:num>
  <w:num w:numId="16">
    <w:abstractNumId w:val="23"/>
  </w:num>
  <w:num w:numId="17">
    <w:abstractNumId w:val="2"/>
  </w:num>
  <w:num w:numId="18">
    <w:abstractNumId w:val="9"/>
  </w:num>
  <w:num w:numId="19">
    <w:abstractNumId w:val="21"/>
  </w:num>
  <w:num w:numId="20">
    <w:abstractNumId w:val="15"/>
  </w:num>
  <w:num w:numId="21">
    <w:abstractNumId w:val="20"/>
  </w:num>
  <w:num w:numId="22">
    <w:abstractNumId w:val="5"/>
  </w:num>
  <w:num w:numId="23">
    <w:abstractNumId w:val="14"/>
  </w:num>
  <w:num w:numId="24">
    <w:abstractNumId w:val="17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C76"/>
    <w:rsid w:val="0004705E"/>
    <w:rsid w:val="000B4FE9"/>
    <w:rsid w:val="000C315B"/>
    <w:rsid w:val="00116B7D"/>
    <w:rsid w:val="001437F6"/>
    <w:rsid w:val="0024554E"/>
    <w:rsid w:val="002565B2"/>
    <w:rsid w:val="002836B9"/>
    <w:rsid w:val="002D1AE5"/>
    <w:rsid w:val="002F55C9"/>
    <w:rsid w:val="00340CAC"/>
    <w:rsid w:val="003959CB"/>
    <w:rsid w:val="00547D8F"/>
    <w:rsid w:val="0057404B"/>
    <w:rsid w:val="00582131"/>
    <w:rsid w:val="005947EC"/>
    <w:rsid w:val="00597B99"/>
    <w:rsid w:val="00605E3D"/>
    <w:rsid w:val="006316F1"/>
    <w:rsid w:val="00663A08"/>
    <w:rsid w:val="00680961"/>
    <w:rsid w:val="006D2584"/>
    <w:rsid w:val="00701FFA"/>
    <w:rsid w:val="007107C2"/>
    <w:rsid w:val="00761477"/>
    <w:rsid w:val="007B53EA"/>
    <w:rsid w:val="007F0B8F"/>
    <w:rsid w:val="00881C73"/>
    <w:rsid w:val="008A48DE"/>
    <w:rsid w:val="0090203D"/>
    <w:rsid w:val="00931147"/>
    <w:rsid w:val="00947B84"/>
    <w:rsid w:val="009C3DA2"/>
    <w:rsid w:val="009E297E"/>
    <w:rsid w:val="00A11D1B"/>
    <w:rsid w:val="00A77BEB"/>
    <w:rsid w:val="00AF02F9"/>
    <w:rsid w:val="00B16E27"/>
    <w:rsid w:val="00B44C76"/>
    <w:rsid w:val="00B54AB2"/>
    <w:rsid w:val="00B8351E"/>
    <w:rsid w:val="00B878E9"/>
    <w:rsid w:val="00B935F8"/>
    <w:rsid w:val="00BF21F7"/>
    <w:rsid w:val="00BF386E"/>
    <w:rsid w:val="00C20E1B"/>
    <w:rsid w:val="00C23B09"/>
    <w:rsid w:val="00E0222B"/>
    <w:rsid w:val="00E624EC"/>
    <w:rsid w:val="00EB52E9"/>
    <w:rsid w:val="00ED54A5"/>
    <w:rsid w:val="00EE01D7"/>
    <w:rsid w:val="00EE512A"/>
    <w:rsid w:val="00F1115A"/>
    <w:rsid w:val="00F65E32"/>
    <w:rsid w:val="00F90FD1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512A"/>
    <w:pPr>
      <w:ind w:left="720"/>
      <w:contextualSpacing/>
    </w:pPr>
  </w:style>
  <w:style w:type="character" w:customStyle="1" w:styleId="FontStyle12">
    <w:name w:val="Font Style12"/>
    <w:basedOn w:val="a0"/>
    <w:rsid w:val="00BF21F7"/>
    <w:rPr>
      <w:rFonts w:ascii="Times New Roman" w:hAnsi="Times New Roman" w:cs="Times New Roman"/>
      <w:b/>
      <w:bCs/>
      <w:sz w:val="22"/>
      <w:szCs w:val="22"/>
    </w:rPr>
  </w:style>
  <w:style w:type="paragraph" w:customStyle="1" w:styleId="a5">
    <w:name w:val="Рисунок"/>
    <w:basedOn w:val="a"/>
    <w:rsid w:val="00B878E9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a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A77BEB"/>
    <w:rPr>
      <w:i/>
      <w:iCs/>
    </w:rPr>
  </w:style>
  <w:style w:type="paragraph" w:customStyle="1" w:styleId="acxspmiddle">
    <w:name w:val="acxspmiddle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B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F0B8F"/>
    <w:rPr>
      <w:b/>
      <w:bCs/>
    </w:rPr>
  </w:style>
  <w:style w:type="character" w:customStyle="1" w:styleId="apple-converted-space">
    <w:name w:val="apple-converted-space"/>
    <w:basedOn w:val="a0"/>
    <w:rsid w:val="007F0B8F"/>
  </w:style>
  <w:style w:type="table" w:styleId="aa">
    <w:name w:val="Table Grid"/>
    <w:basedOn w:val="a1"/>
    <w:uiPriority w:val="59"/>
    <w:rsid w:val="007F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8DE"/>
  </w:style>
  <w:style w:type="paragraph" w:styleId="ad">
    <w:name w:val="footer"/>
    <w:basedOn w:val="a"/>
    <w:link w:val="ae"/>
    <w:uiPriority w:val="99"/>
    <w:semiHidden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A48DE"/>
  </w:style>
  <w:style w:type="paragraph" w:customStyle="1" w:styleId="listparagraph">
    <w:name w:val="listparagraph"/>
    <w:basedOn w:val="a"/>
    <w:rsid w:val="0059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9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7EC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A11D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A11D1B"/>
    <w:rPr>
      <w:rFonts w:ascii="Times New Roman" w:eastAsia="Times New Roman" w:hAnsi="Times New Roman" w:cs="Times New Roman"/>
      <w:sz w:val="28"/>
      <w:szCs w:val="24"/>
    </w:rPr>
  </w:style>
  <w:style w:type="character" w:customStyle="1" w:styleId="name">
    <w:name w:val="name"/>
    <w:basedOn w:val="a0"/>
    <w:rsid w:val="00A11D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D1B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A11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A11D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D1B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A1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1">
    <w:name w:val="cap1"/>
    <w:basedOn w:val="a"/>
    <w:rsid w:val="00A1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6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9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dcterms:created xsi:type="dcterms:W3CDTF">2016-03-31T10:16:00Z</dcterms:created>
  <dcterms:modified xsi:type="dcterms:W3CDTF">2016-04-15T20:13:00Z</dcterms:modified>
</cp:coreProperties>
</file>