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4" w:rsidRPr="00220B84" w:rsidRDefault="00220B84" w:rsidP="00220B84">
      <w:pPr>
        <w:pStyle w:val="newncpi0"/>
        <w:jc w:val="center"/>
      </w:pPr>
      <w:r w:rsidRPr="00220B84">
        <w:t> </w:t>
      </w:r>
    </w:p>
    <w:p w:rsidR="00220B84" w:rsidRPr="00220B84" w:rsidRDefault="00220B84" w:rsidP="00220B84">
      <w:pPr>
        <w:pStyle w:val="newncpi0"/>
        <w:jc w:val="center"/>
      </w:pPr>
      <w:bookmarkStart w:id="0" w:name="a1"/>
      <w:bookmarkEnd w:id="0"/>
      <w:r w:rsidRPr="00220B84">
        <w:rPr>
          <w:rStyle w:val="name"/>
        </w:rPr>
        <w:t>УКАЗ </w:t>
      </w:r>
      <w:r w:rsidRPr="00220B84">
        <w:rPr>
          <w:rStyle w:val="promulgator"/>
        </w:rPr>
        <w:t>ПРЕЗИДЕНТА РЕСПУБЛИКИ БЕЛАРУСЬ</w:t>
      </w:r>
    </w:p>
    <w:p w:rsidR="00220B84" w:rsidRPr="00220B84" w:rsidRDefault="00220B84" w:rsidP="00220B84">
      <w:pPr>
        <w:pStyle w:val="newncpi"/>
        <w:ind w:firstLine="0"/>
        <w:jc w:val="center"/>
      </w:pPr>
      <w:r w:rsidRPr="00220B84">
        <w:rPr>
          <w:rStyle w:val="datepr"/>
        </w:rPr>
        <w:t>5 февраля 2013 г.</w:t>
      </w:r>
      <w:r w:rsidRPr="00220B84">
        <w:rPr>
          <w:rStyle w:val="number"/>
        </w:rPr>
        <w:t xml:space="preserve"> № 63</w:t>
      </w:r>
    </w:p>
    <w:p w:rsidR="00220B84" w:rsidRPr="00220B84" w:rsidRDefault="00220B84" w:rsidP="00220B84">
      <w:pPr>
        <w:pStyle w:val="title"/>
      </w:pPr>
      <w:bookmarkStart w:id="1" w:name="_GoBack"/>
      <w:r w:rsidRPr="00220B84">
        <w:t>О некоторых вопросах правового регулирования процедур экономической несостоятельности</w:t>
      </w:r>
      <w:bookmarkEnd w:id="1"/>
      <w:r w:rsidRPr="00220B84">
        <w:t xml:space="preserve"> (банкротства)</w:t>
      </w:r>
    </w:p>
    <w:p w:rsidR="00220B84" w:rsidRPr="00220B84" w:rsidRDefault="00220B84" w:rsidP="00220B84">
      <w:pPr>
        <w:pStyle w:val="changei"/>
      </w:pPr>
      <w:r w:rsidRPr="00220B84">
        <w:t>Изменения и дополнения:</w:t>
      </w:r>
    </w:p>
    <w:p w:rsidR="00220B84" w:rsidRPr="00220B84" w:rsidRDefault="00220B84" w:rsidP="00220B84">
      <w:pPr>
        <w:pStyle w:val="changeadd"/>
      </w:pPr>
      <w:r w:rsidRPr="00220B84">
        <w:t>Указ</w:t>
      </w:r>
      <w:r w:rsidRPr="00220B84">
        <w:t xml:space="preserve"> Президента Республики Беларусь от 21 июля 2014 г. № 361 (Национальный правовой Интернет-портал Республики Беларусь, 24.07.2014, 1/15176)</w:t>
      </w:r>
    </w:p>
    <w:p w:rsidR="00220B84" w:rsidRPr="00220B84" w:rsidRDefault="00220B84" w:rsidP="00220B84">
      <w:pPr>
        <w:pStyle w:val="newncpi"/>
      </w:pPr>
      <w:r w:rsidRPr="00220B84">
        <w:t> </w:t>
      </w:r>
    </w:p>
    <w:p w:rsidR="00220B84" w:rsidRPr="00220B84" w:rsidRDefault="00220B84" w:rsidP="00220B84">
      <w:pPr>
        <w:pStyle w:val="newncpi"/>
      </w:pPr>
      <w:r w:rsidRPr="00220B84">
        <w:t>В целях совершенствования механизма правового регулирования процедур экономической несостоятельности (банкротства):</w:t>
      </w:r>
    </w:p>
    <w:p w:rsidR="00220B84" w:rsidRPr="00220B84" w:rsidRDefault="00220B84" w:rsidP="00220B84">
      <w:pPr>
        <w:pStyle w:val="point"/>
      </w:pPr>
      <w:r w:rsidRPr="00220B84">
        <w:t>1. Установить, что:</w:t>
      </w:r>
    </w:p>
    <w:p w:rsidR="00220B84" w:rsidRPr="00220B84" w:rsidRDefault="00220B84" w:rsidP="00220B84">
      <w:pPr>
        <w:pStyle w:val="underpoint"/>
      </w:pPr>
      <w:bookmarkStart w:id="2" w:name="a6"/>
      <w:bookmarkEnd w:id="2"/>
      <w:proofErr w:type="gramStart"/>
      <w:r w:rsidRPr="00220B84">
        <w:t xml:space="preserve">1.1. государственная регистрация создания капитальных строений (зданий, сооружений), изолированных помещений, </w:t>
      </w:r>
      <w:proofErr w:type="spellStart"/>
      <w:r w:rsidRPr="00220B84">
        <w:t>машино</w:t>
      </w:r>
      <w:proofErr w:type="spellEnd"/>
      <w:r w:rsidRPr="00220B84">
        <w:t xml:space="preserve">-мест, незавершенных законсервированных капитальных строений, переданных в соответствии со </w:t>
      </w:r>
      <w:r w:rsidRPr="00220B84">
        <w:t>статьей 98</w:t>
      </w:r>
      <w:r w:rsidRPr="00220B84">
        <w:t xml:space="preserve"> Закона Республики Беларусь от 13 июля 2012 года «Об экономической несостоятельности (банкротстве)» (Национальный правовой Интернет-портал Республики Беларусь, 24.07.2012, 2/1967), на которые отсутствуют </w:t>
      </w:r>
      <w:proofErr w:type="spellStart"/>
      <w:r w:rsidRPr="00220B84">
        <w:t>правоудостоверяющие</w:t>
      </w:r>
      <w:proofErr w:type="spellEnd"/>
      <w:r w:rsidRPr="00220B84">
        <w:t xml:space="preserve"> документы, и возникновения прав на них осуществляется в установленном </w:t>
      </w:r>
      <w:r w:rsidRPr="00220B84">
        <w:t>порядке</w:t>
      </w:r>
      <w:r w:rsidRPr="00220B84">
        <w:t xml:space="preserve"> по заявлению принимающей организации* на</w:t>
      </w:r>
      <w:proofErr w:type="gramEnd"/>
      <w:r w:rsidRPr="00220B84">
        <w:t xml:space="preserve"> </w:t>
      </w:r>
      <w:proofErr w:type="gramStart"/>
      <w:r w:rsidRPr="00220B84">
        <w:t>основании</w:t>
      </w:r>
      <w:proofErr w:type="gramEnd"/>
      <w:r w:rsidRPr="00220B84">
        <w:t xml:space="preserve"> технических паспортов, составленных по заявлению этой организации, и передаточных актов. В отношении передаваемых капитальных строений (зданий, сооружений) принимающей организацией дополнительно представляется выписка из решения местного исполнительного и распорядительного органа о возможности использования передаваемых эксплуатируемых капитальных строений (зданий, сооружений) по назначению в соответствии с единой </w:t>
      </w:r>
      <w:r w:rsidRPr="00220B84">
        <w:t>классификацией</w:t>
      </w:r>
      <w:r w:rsidRPr="00220B84">
        <w:t xml:space="preserve"> назначения объектов недвижимого имущества;</w:t>
      </w:r>
    </w:p>
    <w:p w:rsidR="00220B84" w:rsidRPr="00220B84" w:rsidRDefault="00220B84" w:rsidP="00220B84">
      <w:pPr>
        <w:pStyle w:val="snoskiline"/>
      </w:pPr>
      <w:r w:rsidRPr="00220B84">
        <w:t>______________________________</w:t>
      </w:r>
    </w:p>
    <w:p w:rsidR="00220B84" w:rsidRPr="00220B84" w:rsidRDefault="00220B84" w:rsidP="00220B84">
      <w:pPr>
        <w:pStyle w:val="snoski"/>
        <w:spacing w:after="240"/>
      </w:pPr>
      <w:proofErr w:type="gramStart"/>
      <w:r w:rsidRPr="00220B84">
        <w:t xml:space="preserve">*Для целей настоящего Указа термины «принимающая организация», «антикризисный управляющий», «кредитор», «должник», «конкурсное производство», «ликвидационное производство», «нереализованное недвижимое имущество» имеют значения, определенные в </w:t>
      </w:r>
      <w:r w:rsidRPr="00220B84">
        <w:t>Законе</w:t>
      </w:r>
      <w:r w:rsidRPr="00220B84">
        <w:t xml:space="preserve"> Республики Беларусь «Об экономической несостоятельности (банкротстве)».</w:t>
      </w:r>
      <w:proofErr w:type="gramEnd"/>
    </w:p>
    <w:p w:rsidR="00220B84" w:rsidRPr="00220B84" w:rsidRDefault="00220B84" w:rsidP="00220B84">
      <w:pPr>
        <w:pStyle w:val="underpoint"/>
      </w:pPr>
      <w:bookmarkStart w:id="3" w:name="a2"/>
      <w:bookmarkEnd w:id="3"/>
      <w:proofErr w:type="gramStart"/>
      <w:r w:rsidRPr="00220B84">
        <w:t xml:space="preserve">1.2. в процедуре ликвидационного производства допускается продажа предприятия как имущественного комплекса должника, принадлежащих ему капитальных строений (зданий, сооружений), изолированных помещений, </w:t>
      </w:r>
      <w:proofErr w:type="spellStart"/>
      <w:r w:rsidRPr="00220B84">
        <w:t>машино</w:t>
      </w:r>
      <w:proofErr w:type="spellEnd"/>
      <w:r w:rsidRPr="00220B84">
        <w:t>-мест, незавершенных законсервированных капитальных строений без наличия документов, удостоверяющих их государственную регистрацию, при условии отсутствия на текущем (расчетном) счете должника в течение тридцати дней, предшествующих дате принятия собранием или комитетом кредиторов решения об одобрении порядка и сроков продажи такого имущества</w:t>
      </w:r>
      <w:proofErr w:type="gramEnd"/>
      <w:r w:rsidRPr="00220B84">
        <w:t>, денежных сре</w:t>
      </w:r>
      <w:proofErr w:type="gramStart"/>
      <w:r w:rsidRPr="00220B84">
        <w:t>дств в с</w:t>
      </w:r>
      <w:proofErr w:type="gramEnd"/>
      <w:r w:rsidRPr="00220B84">
        <w:t>умме, необходимой для оформления документов, удостоверяющих его государственную регистрацию.</w:t>
      </w:r>
    </w:p>
    <w:p w:rsidR="00220B84" w:rsidRPr="00220B84" w:rsidRDefault="00220B84" w:rsidP="00220B84">
      <w:pPr>
        <w:pStyle w:val="newncpi"/>
      </w:pPr>
      <w:proofErr w:type="gramStart"/>
      <w:r w:rsidRPr="00220B84">
        <w:t>Государственная регистрация создания указанного в части первой настоящего подпункта предприятия как имущественного комплекса, договора его купли-продажи, а также прав на это предприятие как имущественный комплекс осуществляется одновременно республиканской организацией по государственной регистрации недвижимого имущества, прав на него и сделок с ним в установленном порядке по заявлению покупателя на основании договора купли-продажи, решения собрания или комитета кредиторов об одобрении порядка и</w:t>
      </w:r>
      <w:proofErr w:type="gramEnd"/>
      <w:r w:rsidRPr="00220B84">
        <w:t xml:space="preserve"> </w:t>
      </w:r>
      <w:proofErr w:type="gramStart"/>
      <w:r w:rsidRPr="00220B84">
        <w:t xml:space="preserve">сроков продажи такого предприятия как имущественного комплекса, акта инвентаризации, бухгалтерского баланса, перечня имущества и имущественных прав, входящих в состав предприятия как имущественного комплекса, по </w:t>
      </w:r>
      <w:r w:rsidRPr="00220B84">
        <w:t>форме</w:t>
      </w:r>
      <w:r w:rsidRPr="00220B84">
        <w:t xml:space="preserve">, утвержденной Государственным комитетом по имуществу, </w:t>
      </w:r>
      <w:r w:rsidRPr="00220B84">
        <w:lastRenderedPageBreak/>
        <w:t>аудиторского заключения о составе и стоимости предприятия как имущественного комплекса, документов, содержащих информацию из государственных реестров (регистров) о наличии зарегистрированных прав, ограничений (обременений) прав на имущество, включаемое в состав предприятия</w:t>
      </w:r>
      <w:proofErr w:type="gramEnd"/>
      <w:r w:rsidRPr="00220B84">
        <w:t xml:space="preserve"> как имущественного комплекса, если указанное имущество, права, ограничения (обременения) прав на него подлежат государственной регистрации по заявлению покупателя в соответствии с законодательством, передаточного акта.</w:t>
      </w:r>
    </w:p>
    <w:p w:rsidR="00220B84" w:rsidRPr="00220B84" w:rsidRDefault="00220B84" w:rsidP="00220B84">
      <w:pPr>
        <w:pStyle w:val="newncpi"/>
      </w:pPr>
      <w:r w:rsidRPr="00220B84">
        <w:t>Датой государственной регистрации прав покупателя на входящие в состав предприятия как имущественного комплекса объекты недвижимости является дата государственной регистрации предприятия как имущественного комплекса.</w:t>
      </w:r>
    </w:p>
    <w:p w:rsidR="00220B84" w:rsidRPr="00220B84" w:rsidRDefault="00220B84" w:rsidP="00220B84">
      <w:pPr>
        <w:pStyle w:val="newncpi"/>
      </w:pPr>
      <w:proofErr w:type="gramStart"/>
      <w:r w:rsidRPr="00220B84">
        <w:t xml:space="preserve">Государственная регистрация создания указанных в </w:t>
      </w:r>
      <w:r w:rsidRPr="00220B84">
        <w:t>части первой</w:t>
      </w:r>
      <w:r w:rsidRPr="00220B84">
        <w:t xml:space="preserve"> настоящего подпункта капитальных строений (зданий, сооружений), изолированных помещений, </w:t>
      </w:r>
      <w:proofErr w:type="spellStart"/>
      <w:r w:rsidRPr="00220B84">
        <w:t>машино</w:t>
      </w:r>
      <w:proofErr w:type="spellEnd"/>
      <w:r w:rsidRPr="00220B84">
        <w:t xml:space="preserve">-мест, незавершенных законсервированных капитальных строений и прав на них осуществляется в установленном </w:t>
      </w:r>
      <w:r w:rsidRPr="00220B84">
        <w:t>порядке</w:t>
      </w:r>
      <w:r w:rsidRPr="00220B84">
        <w:t xml:space="preserve">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</w:t>
      </w:r>
      <w:proofErr w:type="gramEnd"/>
      <w:r w:rsidRPr="00220B84">
        <w:t xml:space="preserve">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их использования по назначению в соответствии с единой </w:t>
      </w:r>
      <w:r w:rsidRPr="00220B84">
        <w:t>классификацией</w:t>
      </w:r>
      <w:r w:rsidRPr="00220B84">
        <w:t xml:space="preserve"> назначения объектов недвижимого имущества;</w:t>
      </w:r>
    </w:p>
    <w:p w:rsidR="00220B84" w:rsidRPr="00220B84" w:rsidRDefault="00220B84" w:rsidP="00220B84">
      <w:pPr>
        <w:pStyle w:val="underpoint"/>
      </w:pPr>
      <w:proofErr w:type="gramStart"/>
      <w:r w:rsidRPr="00220B84">
        <w:t xml:space="preserve">1.3. государственная регистрация создания капитальных строений (зданий, сооружений), изолированных помещений, </w:t>
      </w:r>
      <w:proofErr w:type="spellStart"/>
      <w:r w:rsidRPr="00220B84">
        <w:t>машино</w:t>
      </w:r>
      <w:proofErr w:type="spellEnd"/>
      <w:r w:rsidRPr="00220B84">
        <w:t xml:space="preserve">-мест, незавершенных законсервированных капитальных строений, составляющих нереализованное недвижимое имущество должника, на которые отсутствуют </w:t>
      </w:r>
      <w:proofErr w:type="spellStart"/>
      <w:r w:rsidRPr="00220B84">
        <w:t>правоудостоверяющие</w:t>
      </w:r>
      <w:proofErr w:type="spellEnd"/>
      <w:r w:rsidRPr="00220B84">
        <w:t xml:space="preserve"> документы, и возникновения прав на них осуществляется в установленном порядке по заявлению кредитора на основании технических паспортов, составленных по заявлению кредитора, договора, заключенного между этим кредитором и антикризисным управляющим, протокола собрания кредиторов, на котором было принято</w:t>
      </w:r>
      <w:proofErr w:type="gramEnd"/>
      <w:r w:rsidRPr="00220B84">
        <w:t xml:space="preserve"> решение в соответствии с </w:t>
      </w:r>
      <w:r w:rsidRPr="00220B84">
        <w:t>частью четвертой</w:t>
      </w:r>
      <w:r w:rsidRPr="00220B84">
        <w:t xml:space="preserve"> статьи 150 Закона Республики Беларусь «Об экономической несостоятельности (банкротстве)», и передаточных актов. В отношении капитальных строений (зданий, сооружений) кредитором дополнительно представляется выписка из решения местного исполнительного и распорядительного органа о возможности их использования по назначению в соответствии с единой классификацией назначения объектов недвижимого имущества;</w:t>
      </w:r>
    </w:p>
    <w:p w:rsidR="00220B84" w:rsidRPr="00220B84" w:rsidRDefault="00220B84" w:rsidP="00220B84">
      <w:pPr>
        <w:pStyle w:val="underpoint"/>
      </w:pPr>
      <w:r w:rsidRPr="00220B84">
        <w:t>1.4. исключен.</w:t>
      </w:r>
    </w:p>
    <w:p w:rsidR="00220B84" w:rsidRPr="00220B84" w:rsidRDefault="00220B84" w:rsidP="00220B84">
      <w:pPr>
        <w:pStyle w:val="point"/>
      </w:pPr>
      <w:r w:rsidRPr="00220B84">
        <w:t xml:space="preserve">2. В </w:t>
      </w:r>
      <w:r w:rsidRPr="00220B84">
        <w:t>подпункте 1.11</w:t>
      </w:r>
      <w:r w:rsidRPr="00220B84">
        <w:t xml:space="preserve"> пункта 1 Указа Президента Республики Беларусь от 13 июня 2008 г. № 329 «О некоторых вопросах признания задолженности безнадежным долгом и ее списания» (Национальный реестр правовых актов Республики Беларусь, 2008 г., № 145, 1/9789; </w:t>
      </w:r>
      <w:proofErr w:type="gramStart"/>
      <w:r w:rsidRPr="00220B84">
        <w:t>2010 г., № 107, 1/11593) слова «частей второй и четвертой подпункта 1.35 пункта 1 Указа Президента Республики Беларусь от 12 ноября 2003 г. № 508 «</w:t>
      </w:r>
      <w:r w:rsidRPr="00220B84">
        <w:rPr>
          <w:shd w:val="clear" w:color="auto" w:fill="FFFFFF"/>
        </w:rPr>
        <w:t>О</w:t>
      </w:r>
      <w:r w:rsidRPr="00220B84">
        <w:t xml:space="preserve"> </w:t>
      </w:r>
      <w:r w:rsidRPr="00220B84">
        <w:rPr>
          <w:shd w:val="clear" w:color="auto" w:fill="FFFFFF"/>
        </w:rPr>
        <w:t>некоторых</w:t>
      </w:r>
      <w:r w:rsidRPr="00220B84">
        <w:t xml:space="preserve"> </w:t>
      </w:r>
      <w:r w:rsidRPr="00220B84">
        <w:rPr>
          <w:shd w:val="clear" w:color="auto" w:fill="FFFFFF"/>
        </w:rPr>
        <w:t>вопросах</w:t>
      </w:r>
      <w:r w:rsidRPr="00220B84">
        <w:t xml:space="preserve"> </w:t>
      </w:r>
      <w:r w:rsidRPr="00220B84">
        <w:rPr>
          <w:shd w:val="clear" w:color="auto" w:fill="FFFFFF"/>
        </w:rPr>
        <w:t>экономической</w:t>
      </w:r>
      <w:r w:rsidRPr="00220B84">
        <w:t xml:space="preserve"> </w:t>
      </w:r>
      <w:r w:rsidRPr="00220B84">
        <w:rPr>
          <w:shd w:val="clear" w:color="auto" w:fill="FFFFFF"/>
        </w:rPr>
        <w:t>несостоятельности</w:t>
      </w:r>
      <w:r w:rsidRPr="00220B84">
        <w:t xml:space="preserve"> (</w:t>
      </w:r>
      <w:r w:rsidRPr="00220B84">
        <w:rPr>
          <w:shd w:val="clear" w:color="auto" w:fill="FFFFFF"/>
        </w:rPr>
        <w:t>банкротства</w:t>
      </w:r>
      <w:r w:rsidRPr="00220B84">
        <w:t>)» (Национальный реестр правовых актов Республики Беларусь, 2003 г., № 127, 1/5085)» заменить словами «частей четвертой и шестой статьи 11 Закона Республики Беларусь от 13 июля 2012 года «Об экономической несостоятельности</w:t>
      </w:r>
      <w:proofErr w:type="gramEnd"/>
      <w:r w:rsidRPr="00220B84">
        <w:t xml:space="preserve"> (</w:t>
      </w:r>
      <w:proofErr w:type="gramStart"/>
      <w:r w:rsidRPr="00220B84">
        <w:t>банкротстве</w:t>
      </w:r>
      <w:proofErr w:type="gramEnd"/>
      <w:r w:rsidRPr="00220B84">
        <w:t>)» (Национальный правовой Интернет-портал Республики Беларусь, 24.07.2012, 2/1967)».</w:t>
      </w:r>
    </w:p>
    <w:p w:rsidR="00220B84" w:rsidRPr="00220B84" w:rsidRDefault="00220B84" w:rsidP="00220B84">
      <w:pPr>
        <w:pStyle w:val="point"/>
      </w:pPr>
      <w:r w:rsidRPr="00220B84">
        <w:t>3. Признать утратившими силу:</w:t>
      </w:r>
    </w:p>
    <w:p w:rsidR="00220B84" w:rsidRPr="00220B84" w:rsidRDefault="00220B84" w:rsidP="00220B84">
      <w:pPr>
        <w:pStyle w:val="newncpi"/>
      </w:pPr>
      <w:r w:rsidRPr="00220B84">
        <w:t>Указ</w:t>
      </w:r>
      <w:r w:rsidRPr="00220B84">
        <w:t xml:space="preserve"> Президента Республики Беларусь от 12 ноября 2003 г. № 508 «О некоторых вопросах экономической несостоятельности (банкротства)» (Национальный реестр правовых актов Республики Беларусь, 2003 г., № 127, 1/5085);</w:t>
      </w:r>
    </w:p>
    <w:p w:rsidR="00220B84" w:rsidRPr="00220B84" w:rsidRDefault="00220B84" w:rsidP="00220B84">
      <w:pPr>
        <w:pStyle w:val="newncpi"/>
      </w:pPr>
      <w:r w:rsidRPr="00220B84">
        <w:lastRenderedPageBreak/>
        <w:t>Указ</w:t>
      </w:r>
      <w:r w:rsidRPr="00220B84">
        <w:t xml:space="preserve"> Президента Республики Беларусь от 27 августа 2004 г. № 411 «О внесении дополнений в Указ Президента Республики Беларусь от 12 ноября 2003 г. № 508» (Национальный реестр правовых актов Республики Беларусь, 2004 г., № 137, 1/5799);</w:t>
      </w:r>
    </w:p>
    <w:p w:rsidR="00220B84" w:rsidRPr="00220B84" w:rsidRDefault="00220B84" w:rsidP="00220B84">
      <w:pPr>
        <w:pStyle w:val="newncpi"/>
      </w:pPr>
      <w:r w:rsidRPr="00220B84">
        <w:t>Указ</w:t>
      </w:r>
      <w:r w:rsidRPr="00220B84">
        <w:t xml:space="preserve"> Президента Республики Беларусь от 6 апреля 2009 г. № 178 «О внесении изменений и дополнений в Указ Президента Республики Беларусь от 12 ноября 2003 г. № 508» (Национальный реестр правовых актов Республики Беларусь, 2009 г., № 92, 1/10599);</w:t>
      </w:r>
    </w:p>
    <w:p w:rsidR="00220B84" w:rsidRPr="00220B84" w:rsidRDefault="00220B84" w:rsidP="00220B84">
      <w:pPr>
        <w:pStyle w:val="newncpi"/>
      </w:pPr>
      <w:r w:rsidRPr="00220B84">
        <w:t>Указ</w:t>
      </w:r>
      <w:r w:rsidRPr="00220B84">
        <w:t xml:space="preserve"> Президента Республики Беларусь от 25 июня 2010 г. № 328 «О некоторых мерах по оптимизации проведения процедур экономической несостоятельности (банкротства)» (Национальный реестр правовых актов Республики Беларусь, 2010 г., № 158, 1/11739);</w:t>
      </w:r>
    </w:p>
    <w:p w:rsidR="00220B84" w:rsidRPr="00220B84" w:rsidRDefault="00220B84" w:rsidP="00220B84">
      <w:pPr>
        <w:pStyle w:val="newncpi"/>
      </w:pPr>
      <w:r w:rsidRPr="00220B84">
        <w:t>подпункт 1.7</w:t>
      </w:r>
      <w:r w:rsidRPr="00220B84">
        <w:t xml:space="preserve"> пункта 1 Указа Президента Республики Беларусь от 12 января 2012 г. № 26 «О внесении дополнений и изменений в некоторые указы Президента Республики Беларусь» (Национальный реестр правовых актов Республики Беларусь, 2012 г., № 8, 1/13247).</w:t>
      </w:r>
    </w:p>
    <w:p w:rsidR="00220B84" w:rsidRPr="00220B84" w:rsidRDefault="00220B84" w:rsidP="00220B84">
      <w:pPr>
        <w:pStyle w:val="point"/>
      </w:pPr>
      <w:bookmarkStart w:id="4" w:name="a8"/>
      <w:bookmarkEnd w:id="4"/>
      <w:r w:rsidRPr="00220B84">
        <w:t>4. Совету Министров Республики Беларусь в трехмесячный срок обеспечить приведение нормативных правовых актов в соответствие с настоящим Указом и принять иные меры по его реализации.</w:t>
      </w:r>
    </w:p>
    <w:p w:rsidR="00220B84" w:rsidRPr="00220B84" w:rsidRDefault="00220B84" w:rsidP="00220B84">
      <w:pPr>
        <w:pStyle w:val="point"/>
      </w:pPr>
      <w:r w:rsidRPr="00220B84">
        <w:t>5. </w:t>
      </w:r>
      <w:proofErr w:type="gramStart"/>
      <w:r w:rsidRPr="00220B84">
        <w:t>Контроль за</w:t>
      </w:r>
      <w:proofErr w:type="gramEnd"/>
      <w:r w:rsidRPr="00220B84"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220B84" w:rsidRPr="00220B84" w:rsidRDefault="00220B84" w:rsidP="00220B84">
      <w:pPr>
        <w:pStyle w:val="point"/>
      </w:pPr>
      <w:bookmarkStart w:id="5" w:name="a5"/>
      <w:bookmarkEnd w:id="5"/>
      <w:r w:rsidRPr="00220B84">
        <w:t>6. Настоящий Указ вступает в силу со дня его официального опубликования и распространяет свое действие на отношения, возникшие с 25 января 2013 г.</w:t>
      </w:r>
    </w:p>
    <w:p w:rsidR="00220B84" w:rsidRPr="00220B84" w:rsidRDefault="00220B84" w:rsidP="00220B84">
      <w:pPr>
        <w:pStyle w:val="newncpi"/>
      </w:pPr>
      <w:r w:rsidRPr="00220B84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220B84" w:rsidRPr="00220B84" w:rsidTr="00220B8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0B84" w:rsidRPr="00220B84" w:rsidRDefault="00220B84">
            <w:pPr>
              <w:pStyle w:val="newncpi0"/>
              <w:jc w:val="left"/>
            </w:pPr>
            <w:r w:rsidRPr="00220B8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0B84" w:rsidRPr="00220B84" w:rsidRDefault="00220B84">
            <w:pPr>
              <w:pStyle w:val="newncpi0"/>
              <w:jc w:val="right"/>
            </w:pPr>
            <w:proofErr w:type="spellStart"/>
            <w:r w:rsidRPr="00220B84">
              <w:rPr>
                <w:b/>
                <w:bCs/>
                <w:i/>
                <w:iCs/>
              </w:rPr>
              <w:t>А.Лукашенко</w:t>
            </w:r>
            <w:proofErr w:type="spellEnd"/>
          </w:p>
        </w:tc>
      </w:tr>
    </w:tbl>
    <w:p w:rsidR="00220B84" w:rsidRPr="00220B84" w:rsidRDefault="00220B84" w:rsidP="00220B84">
      <w:pPr>
        <w:pStyle w:val="newncpi0"/>
      </w:pPr>
      <w:r w:rsidRPr="00220B84">
        <w:t> </w:t>
      </w:r>
    </w:p>
    <w:p w:rsidR="00806DC2" w:rsidRDefault="00220B84"/>
    <w:sectPr w:rsidR="0080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84"/>
    <w:rsid w:val="00066C8E"/>
    <w:rsid w:val="001578DA"/>
    <w:rsid w:val="001C2990"/>
    <w:rsid w:val="00220B84"/>
    <w:rsid w:val="00C6075C"/>
    <w:rsid w:val="00F72B99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 в ЛР"/>
    <w:basedOn w:val="a"/>
    <w:next w:val="a"/>
    <w:link w:val="a4"/>
    <w:rsid w:val="001578DA"/>
    <w:pPr>
      <w:keepNext/>
      <w:spacing w:before="340" w:after="0" w:line="264" w:lineRule="auto"/>
      <w:jc w:val="center"/>
    </w:pPr>
    <w:rPr>
      <w:b/>
      <w:sz w:val="28"/>
      <w:szCs w:val="28"/>
    </w:rPr>
  </w:style>
  <w:style w:type="character" w:customStyle="1" w:styleId="a4">
    <w:name w:val="Для заголовков в ЛР Знак"/>
    <w:basedOn w:val="a0"/>
    <w:link w:val="a3"/>
    <w:rsid w:val="001578DA"/>
    <w:rPr>
      <w:b/>
      <w:sz w:val="28"/>
      <w:szCs w:val="28"/>
    </w:rPr>
  </w:style>
  <w:style w:type="paragraph" w:customStyle="1" w:styleId="14">
    <w:name w:val="Для кода_14_пт"/>
    <w:basedOn w:val="a"/>
    <w:qFormat/>
    <w:rsid w:val="00FC7257"/>
    <w:pPr>
      <w:tabs>
        <w:tab w:val="left" w:pos="425"/>
        <w:tab w:val="left" w:pos="851"/>
        <w:tab w:val="left" w:pos="1276"/>
        <w:tab w:val="left" w:pos="1701"/>
      </w:tabs>
      <w:spacing w:after="0" w:line="264" w:lineRule="auto"/>
      <w:ind w:left="851" w:hanging="851"/>
    </w:pPr>
    <w:rPr>
      <w:rFonts w:ascii="Courier New" w:eastAsia="Times New Roman" w:hAnsi="Courier New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220B84"/>
    <w:rPr>
      <w:color w:val="0038C8"/>
      <w:u w:val="single"/>
    </w:rPr>
  </w:style>
  <w:style w:type="paragraph" w:customStyle="1" w:styleId="title">
    <w:name w:val="title"/>
    <w:basedOn w:val="a"/>
    <w:rsid w:val="00220B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0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220B8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0B8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0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0B8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20B8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20B8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0B8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20B8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2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 в ЛР"/>
    <w:basedOn w:val="a"/>
    <w:next w:val="a"/>
    <w:link w:val="a4"/>
    <w:rsid w:val="001578DA"/>
    <w:pPr>
      <w:keepNext/>
      <w:spacing w:before="340" w:after="0" w:line="264" w:lineRule="auto"/>
      <w:jc w:val="center"/>
    </w:pPr>
    <w:rPr>
      <w:b/>
      <w:sz w:val="28"/>
      <w:szCs w:val="28"/>
    </w:rPr>
  </w:style>
  <w:style w:type="character" w:customStyle="1" w:styleId="a4">
    <w:name w:val="Для заголовков в ЛР Знак"/>
    <w:basedOn w:val="a0"/>
    <w:link w:val="a3"/>
    <w:rsid w:val="001578DA"/>
    <w:rPr>
      <w:b/>
      <w:sz w:val="28"/>
      <w:szCs w:val="28"/>
    </w:rPr>
  </w:style>
  <w:style w:type="paragraph" w:customStyle="1" w:styleId="14">
    <w:name w:val="Для кода_14_пт"/>
    <w:basedOn w:val="a"/>
    <w:qFormat/>
    <w:rsid w:val="00FC7257"/>
    <w:pPr>
      <w:tabs>
        <w:tab w:val="left" w:pos="425"/>
        <w:tab w:val="left" w:pos="851"/>
        <w:tab w:val="left" w:pos="1276"/>
        <w:tab w:val="left" w:pos="1701"/>
      </w:tabs>
      <w:spacing w:after="0" w:line="264" w:lineRule="auto"/>
      <w:ind w:left="851" w:hanging="851"/>
    </w:pPr>
    <w:rPr>
      <w:rFonts w:ascii="Courier New" w:eastAsia="Times New Roman" w:hAnsi="Courier New" w:cs="Times New Roman"/>
      <w:sz w:val="28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220B84"/>
    <w:rPr>
      <w:color w:val="0038C8"/>
      <w:u w:val="single"/>
    </w:rPr>
  </w:style>
  <w:style w:type="paragraph" w:customStyle="1" w:styleId="title">
    <w:name w:val="title"/>
    <w:basedOn w:val="a"/>
    <w:rsid w:val="00220B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0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220B8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0B8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0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0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0B8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20B8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20B8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0B8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20B8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2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351</cp:lastModifiedBy>
  <cp:revision>1</cp:revision>
  <dcterms:created xsi:type="dcterms:W3CDTF">2016-09-19T11:33:00Z</dcterms:created>
  <dcterms:modified xsi:type="dcterms:W3CDTF">2016-09-19T11:33:00Z</dcterms:modified>
</cp:coreProperties>
</file>