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6" w:rsidRPr="00D17B83" w:rsidRDefault="00310C66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D17B83">
        <w:rPr>
          <w:b/>
          <w:sz w:val="28"/>
          <w:szCs w:val="28"/>
        </w:rPr>
        <w:t>Перечень вопросов</w:t>
      </w:r>
      <w:r w:rsidR="006234C2">
        <w:rPr>
          <w:b/>
          <w:sz w:val="28"/>
          <w:szCs w:val="28"/>
        </w:rPr>
        <w:t xml:space="preserve"> к коллоквиуму 1.</w:t>
      </w:r>
    </w:p>
    <w:p w:rsidR="00310C66" w:rsidRPr="00D17B83" w:rsidRDefault="00310C66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bidi="en-US"/>
        </w:rPr>
      </w:pPr>
      <w:r w:rsidRPr="00D17B83">
        <w:rPr>
          <w:sz w:val="28"/>
          <w:szCs w:val="28"/>
          <w:lang w:bidi="en-US"/>
        </w:rPr>
        <w:t>Предмет некоммерческого права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bidi="en-US"/>
        </w:rPr>
      </w:pPr>
      <w:r w:rsidRPr="00D17B83">
        <w:rPr>
          <w:sz w:val="28"/>
          <w:szCs w:val="28"/>
          <w:lang w:bidi="en-US"/>
        </w:rPr>
        <w:t>Соотношение понятия «Некоммерческая организация» с другими аналогичными понятиями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bidi="en-US"/>
        </w:rPr>
      </w:pPr>
      <w:r w:rsidRPr="00D17B83">
        <w:rPr>
          <w:sz w:val="28"/>
          <w:szCs w:val="28"/>
          <w:lang w:bidi="en-US"/>
        </w:rPr>
        <w:t>Роль некоммерческих организаций в системе гражданского общества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  <w:lang w:bidi="en-US"/>
        </w:rPr>
      </w:pPr>
      <w:r w:rsidRPr="00D17B83">
        <w:rPr>
          <w:rFonts w:eastAsia="Verdana"/>
          <w:sz w:val="28"/>
          <w:szCs w:val="28"/>
          <w:lang w:bidi="en-US"/>
        </w:rPr>
        <w:t>Конституционные основы статуса НКО в Беларуси и международные стандарты свободы ассоциации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D17B83">
        <w:rPr>
          <w:color w:val="231F20"/>
          <w:w w:val="95"/>
          <w:sz w:val="28"/>
          <w:szCs w:val="28"/>
        </w:rPr>
        <w:t xml:space="preserve">Органы, осуществляющие регистрацию </w:t>
      </w:r>
      <w:r w:rsidRPr="00D17B83">
        <w:rPr>
          <w:color w:val="231F20"/>
          <w:sz w:val="28"/>
          <w:szCs w:val="28"/>
        </w:rPr>
        <w:t>некоммерческих организаций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Учредители некоммерческих организаций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Деятельность незарегистрированных объединений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Отличительные особенности фондов, учреждений, общественных объединений. </w:t>
      </w:r>
      <w:r w:rsidRPr="00D17B83">
        <w:rPr>
          <w:rFonts w:eastAsia="Verdana"/>
          <w:sz w:val="28"/>
          <w:szCs w:val="28"/>
        </w:rPr>
        <w:t>Государственно-общественные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color w:val="231F20"/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Отличие простого товарищества от НКО.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Источники правового регулирования отдельных форм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 xml:space="preserve">Статус общественных объединений. Создание общественных объединений. Органы, осуществляющие регистрацию общественных объединений.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 xml:space="preserve">Документы, необходимые для регистрации общественного объединения: Заявление о государственной регистрации. Устав общественного объединения. Протокол учредительного собрания. Документ, подтверждающий наличие юридического адреса (места нахождения руководящего органа) объединения.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 xml:space="preserve">Документ банка, подтверждающий уплату государственной пошлины. Список учредителей общественного объединения. Список членов выборных органов общественного объединения. Документ об оплате за </w:t>
      </w:r>
      <w:proofErr w:type="gramStart"/>
      <w:r w:rsidRPr="00D17B83">
        <w:rPr>
          <w:sz w:val="28"/>
          <w:szCs w:val="28"/>
        </w:rPr>
        <w:t>сообщение</w:t>
      </w:r>
      <w:proofErr w:type="gramEnd"/>
      <w:r w:rsidRPr="00D17B83">
        <w:rPr>
          <w:sz w:val="28"/>
          <w:szCs w:val="28"/>
        </w:rPr>
        <w:t xml:space="preserve"> о государственной регистрации общественного объединения в периодическом печатном издании.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>Особенности регистрации международного общественного объединения. Особенности реорганизованного объединения иные документы. Проверка регистрирующим органом достоверности документов, представляемых на регистрацию.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>Вынесение решения о регистрации общественного объединения.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Организационные структуры</w:t>
      </w:r>
      <w:r w:rsidRPr="00D17B83">
        <w:rPr>
          <w:sz w:val="28"/>
          <w:szCs w:val="28"/>
        </w:rPr>
        <w:t xml:space="preserve"> общественного объединения. </w:t>
      </w:r>
      <w:r w:rsidRPr="00D17B83">
        <w:rPr>
          <w:color w:val="231F20"/>
          <w:sz w:val="28"/>
          <w:szCs w:val="28"/>
        </w:rPr>
        <w:t>Органы организационной структуры</w:t>
      </w:r>
      <w:r w:rsidRPr="00D17B83">
        <w:rPr>
          <w:sz w:val="28"/>
          <w:szCs w:val="28"/>
        </w:rPr>
        <w:t xml:space="preserve"> общественного объединения</w:t>
      </w:r>
      <w:r w:rsidRPr="00D17B83">
        <w:rPr>
          <w:color w:val="231F20"/>
          <w:sz w:val="28"/>
          <w:szCs w:val="28"/>
        </w:rPr>
        <w:t xml:space="preserve">. Название организационной структуры </w:t>
      </w:r>
      <w:r w:rsidRPr="00D17B83">
        <w:rPr>
          <w:sz w:val="28"/>
          <w:szCs w:val="28"/>
        </w:rPr>
        <w:t>общественного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Регистрация (постановка на учет) организационной структуры</w:t>
      </w:r>
      <w:r w:rsidRPr="00D17B83">
        <w:rPr>
          <w:sz w:val="28"/>
          <w:szCs w:val="28"/>
        </w:rPr>
        <w:t xml:space="preserve"> общественного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Принятие решения о регистрации (постановке на учет) </w:t>
      </w:r>
      <w:r w:rsidRPr="00D17B83">
        <w:rPr>
          <w:color w:val="231F20"/>
          <w:w w:val="95"/>
          <w:sz w:val="28"/>
          <w:szCs w:val="28"/>
        </w:rPr>
        <w:t>организационной структуры общественного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Виды фондов. Имущественные взносы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Органы фонда и их компетенция. Регистрация фондов, изменений и дополнений в уставе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Документы, представляемые для государственной регистрации фондов. Внесение изменений и дополнений в устав фонда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lastRenderedPageBreak/>
        <w:t xml:space="preserve">Порядок регистрации фондов, изменений и дополнений в устав. Обжалование решений регистрирующих органов. </w:t>
      </w:r>
      <w:proofErr w:type="gramStart"/>
      <w:r w:rsidRPr="00D17B83">
        <w:rPr>
          <w:color w:val="231F20"/>
          <w:sz w:val="28"/>
          <w:szCs w:val="28"/>
        </w:rPr>
        <w:t>Контроль за</w:t>
      </w:r>
      <w:proofErr w:type="gramEnd"/>
      <w:r w:rsidRPr="00D17B83">
        <w:rPr>
          <w:color w:val="231F20"/>
          <w:sz w:val="28"/>
          <w:szCs w:val="28"/>
        </w:rPr>
        <w:t xml:space="preserve"> деятельностью фондов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Учреждение: общие положения. Порядок регистрации учреждений. Регистрирующие органы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Прием регистрирующим органом документов для государственной регистрации учреждений. </w:t>
      </w:r>
      <w:r w:rsidRPr="00D17B83">
        <w:rPr>
          <w:color w:val="231F20"/>
          <w:w w:val="95"/>
          <w:sz w:val="28"/>
          <w:szCs w:val="28"/>
        </w:rPr>
        <w:t xml:space="preserve">Рассмотрение документов, представленных </w:t>
      </w:r>
      <w:r w:rsidRPr="00D17B83">
        <w:rPr>
          <w:color w:val="231F20"/>
          <w:sz w:val="28"/>
          <w:szCs w:val="28"/>
        </w:rPr>
        <w:t>для государственной регистрации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Ответственность учреждения в области государственной регистрации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Порядок государственной регистрации политической партии, союза, их символики, изменений и (или) дополнений, внесенных в устав политической партии, союза. Порядок рассмотрения документов, представляемых для государственной регистрации политической партии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D17B83">
        <w:rPr>
          <w:bCs/>
          <w:color w:val="000000"/>
          <w:sz w:val="28"/>
          <w:szCs w:val="28"/>
          <w:shd w:val="clear" w:color="auto" w:fill="FFFFFF"/>
        </w:rPr>
        <w:t xml:space="preserve">Приостановление государственной регистрации, отказ в государственной регистрации политической партии, союза, их гимнов, значков, вымпелов, галстуков, изменений и (или) дополнений, внесенных в устав политической партии, союза. </w:t>
      </w:r>
      <w:proofErr w:type="gramEnd"/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Государственная регистрация, постановка на учет и прекращение деятельности организационных структур политической партии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Порядок реорганизации и ликвидации политической партии, их союза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Права политических партий, их союзов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Имущество политической партии,  их союза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Ограничения в финансировании политических партий, их союзов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 xml:space="preserve">Надзор за исполнением законодательства политическими партиями, союзами. </w:t>
      </w:r>
      <w:proofErr w:type="gramStart"/>
      <w:r w:rsidRPr="00D17B83"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17B83">
        <w:rPr>
          <w:bCs/>
          <w:color w:val="000000"/>
          <w:sz w:val="28"/>
          <w:szCs w:val="28"/>
          <w:shd w:val="clear" w:color="auto" w:fill="FFFFFF"/>
        </w:rPr>
        <w:t xml:space="preserve"> соответствием деятельности политических партий, их организационных структур, союзов законодательству и их уставам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Ответственность политических партий, союзов.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Ассоциации общественных объединений, ассоциации по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виду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(видам)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спорта,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созданные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участием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общественного объединения (общественных</w:t>
      </w:r>
      <w:r w:rsidRPr="00D17B83">
        <w:rPr>
          <w:color w:val="231F20"/>
          <w:spacing w:val="-2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объединений)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Ассоциации коммерческих и (или) некоммерческих организаций, индивидуальных предпринимателей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Общие требования к наименованиям ассоциаций коммерческих и (или) некоммерческих организаций, индивидуальных предпринимателей. Проверка наименования на наличие тождественных/ зарезервированных до подачи документов для согласования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w w:val="95"/>
          <w:sz w:val="28"/>
          <w:szCs w:val="28"/>
        </w:rPr>
        <w:t xml:space="preserve">Органы, осуществляющие процедуру </w:t>
      </w:r>
      <w:r w:rsidRPr="00D17B83">
        <w:rPr>
          <w:color w:val="231F20"/>
          <w:sz w:val="28"/>
          <w:szCs w:val="28"/>
        </w:rPr>
        <w:t>согласования наименования ассоциаций коммерческих и (или) некоммерческих организаций, индивидуальных предпринимателей. Подача документов для согласования наименования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Процедура согласования наименования ассоциаций коммерческих и (или) некоммерческих организаций, индивидуальных предпринимателей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lastRenderedPageBreak/>
        <w:t>Отказ в согласовании наименования ассоциаций коммерческих и (или) некоммерческих организаций, индивидуальных предпринимателей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Срок действия справки о согласовании наименования</w:t>
      </w:r>
      <w:proofErr w:type="gramStart"/>
      <w:r w:rsidRPr="00D17B83">
        <w:rPr>
          <w:color w:val="231F20"/>
          <w:sz w:val="28"/>
          <w:szCs w:val="28"/>
        </w:rPr>
        <w:t>.</w:t>
      </w:r>
      <w:proofErr w:type="gramEnd"/>
      <w:r w:rsidRPr="00D17B83">
        <w:rPr>
          <w:color w:val="231F20"/>
          <w:sz w:val="28"/>
          <w:szCs w:val="28"/>
        </w:rPr>
        <w:t xml:space="preserve"> </w:t>
      </w:r>
      <w:proofErr w:type="gramStart"/>
      <w:r w:rsidRPr="00D17B83">
        <w:rPr>
          <w:color w:val="231F20"/>
          <w:sz w:val="28"/>
          <w:szCs w:val="28"/>
        </w:rPr>
        <w:t>а</w:t>
      </w:r>
      <w:proofErr w:type="gramEnd"/>
      <w:r w:rsidRPr="00D17B83">
        <w:rPr>
          <w:color w:val="231F20"/>
          <w:sz w:val="28"/>
          <w:szCs w:val="28"/>
        </w:rPr>
        <w:t>ссоциаций коммерческих и (или) некоммерческих организаций, индивидуальных предпринимателей. Обжалование отказа в согласовании наименования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Понятие юридического адреса НКО.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Требования,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предъявляемые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законодательством к размещению юридического адреса некоммерческой организации. Согласование</w:t>
      </w:r>
      <w:r w:rsidRPr="00D17B83">
        <w:rPr>
          <w:color w:val="231F20"/>
          <w:spacing w:val="-9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использования</w:t>
      </w:r>
      <w:r w:rsidRPr="00D17B83">
        <w:rPr>
          <w:color w:val="231F20"/>
          <w:spacing w:val="-9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индивидуального жилого дома не по назначению (размещение юридического адреса в индивидуальном жилом</w:t>
      </w:r>
      <w:r w:rsidRPr="00D17B83">
        <w:rPr>
          <w:color w:val="231F20"/>
          <w:spacing w:val="-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доме).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Документы,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подтверждающие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наличие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юридического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адреса. Гарантийное письмо о предоставлении помещения для размещения юридического адреса общественного объединения либо</w:t>
      </w:r>
      <w:r w:rsidRPr="00D17B83">
        <w:rPr>
          <w:color w:val="231F20"/>
          <w:spacing w:val="-8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фонда</w:t>
      </w:r>
      <w:r w:rsidRPr="00D17B83">
        <w:rPr>
          <w:color w:val="231F20"/>
          <w:spacing w:val="-8"/>
          <w:sz w:val="28"/>
          <w:szCs w:val="28"/>
        </w:rPr>
        <w:t xml:space="preserve">. </w:t>
      </w:r>
      <w:r w:rsidRPr="00D17B83">
        <w:rPr>
          <w:color w:val="231F20"/>
          <w:sz w:val="28"/>
          <w:szCs w:val="28"/>
        </w:rPr>
        <w:t>Договор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аренды и договор безвозмездного</w:t>
      </w:r>
      <w:r w:rsidRPr="00D17B83">
        <w:rPr>
          <w:color w:val="231F20"/>
          <w:spacing w:val="-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пользования.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Уведомление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государственных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органов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изменении юридического адреса некоммерческой</w:t>
      </w:r>
      <w:r w:rsidRPr="00D17B83">
        <w:rPr>
          <w:color w:val="231F20"/>
          <w:spacing w:val="-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 xml:space="preserve">организации. Ответственность за </w:t>
      </w:r>
      <w:proofErr w:type="spellStart"/>
      <w:r w:rsidRPr="00D17B83">
        <w:rPr>
          <w:color w:val="231F20"/>
          <w:sz w:val="28"/>
          <w:szCs w:val="28"/>
        </w:rPr>
        <w:t>неуведомление</w:t>
      </w:r>
      <w:proofErr w:type="spellEnd"/>
      <w:r w:rsidRPr="00D17B83">
        <w:rPr>
          <w:color w:val="231F20"/>
          <w:sz w:val="28"/>
          <w:szCs w:val="28"/>
        </w:rPr>
        <w:t xml:space="preserve"> об изменении юридического адреса.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Льготы по арендной плате для некоммерческих организаций.</w:t>
      </w:r>
    </w:p>
    <w:p w:rsidR="00C74F1E" w:rsidRDefault="00C74F1E"/>
    <w:sectPr w:rsidR="00C74F1E" w:rsidSect="00C7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4E1E"/>
    <w:multiLevelType w:val="hybridMultilevel"/>
    <w:tmpl w:val="230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C66"/>
    <w:rsid w:val="00056BA0"/>
    <w:rsid w:val="001E016F"/>
    <w:rsid w:val="002642C5"/>
    <w:rsid w:val="00310C66"/>
    <w:rsid w:val="004A3560"/>
    <w:rsid w:val="004A4761"/>
    <w:rsid w:val="00623250"/>
    <w:rsid w:val="006234C2"/>
    <w:rsid w:val="008B3086"/>
    <w:rsid w:val="00B0466E"/>
    <w:rsid w:val="00B2230C"/>
    <w:rsid w:val="00C74F1E"/>
    <w:rsid w:val="00CC5965"/>
    <w:rsid w:val="00E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4A3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1"/>
    <w:basedOn w:val="1"/>
    <w:qFormat/>
    <w:rsid w:val="004A3560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36"/>
    </w:rPr>
  </w:style>
  <w:style w:type="character" w:customStyle="1" w:styleId="10">
    <w:name w:val="Заголовок 1 Знак"/>
    <w:basedOn w:val="a0"/>
    <w:link w:val="1"/>
    <w:uiPriority w:val="9"/>
    <w:rsid w:val="004A3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Мой заг 2"/>
    <w:basedOn w:val="a"/>
    <w:qFormat/>
    <w:rsid w:val="004A3560"/>
    <w:pPr>
      <w:autoSpaceDE w:val="0"/>
      <w:autoSpaceDN w:val="0"/>
      <w:adjustRightInd w:val="0"/>
      <w:spacing w:line="264" w:lineRule="auto"/>
      <w:ind w:firstLine="709"/>
      <w:jc w:val="both"/>
    </w:pPr>
    <w:rPr>
      <w:rFonts w:eastAsia="Calibri"/>
      <w:color w:val="000000"/>
      <w:sz w:val="24"/>
      <w:szCs w:val="24"/>
      <w:lang w:val="be-BY"/>
    </w:rPr>
  </w:style>
  <w:style w:type="paragraph" w:customStyle="1" w:styleId="31">
    <w:name w:val="мой заг3"/>
    <w:basedOn w:val="3"/>
    <w:qFormat/>
    <w:rsid w:val="004A3560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35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310C66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2018-03-19T11:09:00Z</dcterms:created>
  <dcterms:modified xsi:type="dcterms:W3CDTF">2018-03-19T11:10:00Z</dcterms:modified>
</cp:coreProperties>
</file>