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90" w:rsidRPr="00F95D2B" w:rsidRDefault="003E7F90" w:rsidP="003E7F90">
      <w:pPr>
        <w:jc w:val="center"/>
        <w:rPr>
          <w:b/>
          <w:i/>
          <w:u w:val="single"/>
        </w:rPr>
      </w:pPr>
      <w:r w:rsidRPr="00F95D2B">
        <w:rPr>
          <w:b/>
          <w:i/>
          <w:u w:val="single"/>
        </w:rPr>
        <w:t xml:space="preserve">ЗАДАЧА </w:t>
      </w:r>
      <w:r w:rsidR="00193458">
        <w:rPr>
          <w:b/>
          <w:i/>
          <w:u w:val="single"/>
        </w:rPr>
        <w:t>1</w:t>
      </w:r>
    </w:p>
    <w:p w:rsidR="003E7F90" w:rsidRPr="00F95D2B" w:rsidRDefault="003E7F90" w:rsidP="003E7F90">
      <w:pPr>
        <w:jc w:val="center"/>
        <w:rPr>
          <w:b/>
          <w:i/>
          <w:u w:val="single"/>
        </w:rPr>
      </w:pPr>
      <w:r w:rsidRPr="00F95D2B">
        <w:rPr>
          <w:b/>
          <w:i/>
          <w:u w:val="single"/>
        </w:rPr>
        <w:t xml:space="preserve"> на определение центра тяжести грузопотоков</w:t>
      </w:r>
    </w:p>
    <w:p w:rsidR="003E7F90" w:rsidRPr="00F95D2B" w:rsidRDefault="003E7F90" w:rsidP="003E7F90">
      <w:pPr>
        <w:jc w:val="center"/>
        <w:rPr>
          <w:b/>
          <w:i/>
          <w:u w:val="single"/>
        </w:rPr>
      </w:pPr>
    </w:p>
    <w:p w:rsidR="003E7F90" w:rsidRPr="00F95D2B" w:rsidRDefault="003E7F90" w:rsidP="003E7F90">
      <w:pPr>
        <w:ind w:firstLine="284"/>
        <w:jc w:val="both"/>
      </w:pPr>
      <w:r w:rsidRPr="00F95D2B">
        <w:t>Определить координаты центра тяжести грузовых потоков, если известно, что потребитель</w:t>
      </w:r>
      <w:proofErr w:type="gramStart"/>
      <w:r w:rsidRPr="00F95D2B">
        <w:t xml:space="preserve"> А</w:t>
      </w:r>
      <w:proofErr w:type="gramEnd"/>
      <w:r w:rsidRPr="00F95D2B">
        <w:t xml:space="preserve"> имеет координаты (36, 42) и грузооборот 35 т в месяц; потребитель В имеет координаты (36, 19) и грузооборот 25 т в месяц; потребитель С имеет координаты (87, 28) и грузооборот 25 т в месяц; потребитель D имеет координаты (78, 58) и грузооборот 35 т в месяц.</w:t>
      </w:r>
    </w:p>
    <w:p w:rsidR="003E7F90" w:rsidRPr="00F95D2B" w:rsidRDefault="003E7F90" w:rsidP="003E7F90">
      <w:pPr>
        <w:pStyle w:val="4"/>
        <w:spacing w:before="240"/>
        <w:rPr>
          <w:sz w:val="24"/>
          <w:szCs w:val="24"/>
        </w:rPr>
      </w:pPr>
      <w:r w:rsidRPr="00F95D2B">
        <w:rPr>
          <w:sz w:val="24"/>
          <w:szCs w:val="24"/>
        </w:rPr>
        <w:t>Методика решения</w:t>
      </w:r>
    </w:p>
    <w:p w:rsidR="003E7F90" w:rsidRPr="00F95D2B" w:rsidRDefault="003E7F90" w:rsidP="003E7F90">
      <w:pPr>
        <w:ind w:firstLine="284"/>
        <w:jc w:val="both"/>
      </w:pPr>
      <w:r w:rsidRPr="00F95D2B">
        <w:t xml:space="preserve">Метод определения центра тяжести грузовых потоков широко используется для нахождения приблизительного местоположения склада предприятия или распределительного центра торговой организации, снабжающего потребителей данного региона товарами. Суть метода – найти равноудаленную точку от всех потребителей с учетом их грузооборотов. </w:t>
      </w:r>
    </w:p>
    <w:p w:rsidR="003E7F90" w:rsidRPr="00F95D2B" w:rsidRDefault="003E7F90" w:rsidP="003E7F90">
      <w:pPr>
        <w:ind w:firstLine="284"/>
        <w:jc w:val="both"/>
      </w:pPr>
      <w:r w:rsidRPr="00F95D2B">
        <w:t>Задача определения координат точки, соответствующей центру тяжести грузовых потоков, может быть решена с помощью известных математических формул:</w:t>
      </w:r>
    </w:p>
    <w:p w:rsidR="003E7F90" w:rsidRPr="00F95D2B" w:rsidRDefault="003E7F90" w:rsidP="003E7F90">
      <w:pPr>
        <w:ind w:firstLine="284"/>
        <w:jc w:val="both"/>
      </w:pPr>
    </w:p>
    <w:p w:rsidR="003E7F90" w:rsidRPr="00F95D2B" w:rsidRDefault="003E7F90" w:rsidP="003E7F90">
      <w:pPr>
        <w:ind w:firstLine="284"/>
        <w:jc w:val="center"/>
      </w:pPr>
      <w:proofErr w:type="spellStart"/>
      <w:r w:rsidRPr="00F95D2B">
        <w:t>Хц</w:t>
      </w:r>
      <w:proofErr w:type="spellEnd"/>
      <w:r w:rsidRPr="00F95D2B">
        <w:t xml:space="preserve"> = Σ (</w:t>
      </w:r>
      <w:proofErr w:type="spellStart"/>
      <w:r w:rsidRPr="00F95D2B">
        <w:t>Х</w:t>
      </w:r>
      <w:proofErr w:type="gramStart"/>
      <w:r w:rsidRPr="00F95D2B">
        <w:t>i</w:t>
      </w:r>
      <w:proofErr w:type="spellEnd"/>
      <w:proofErr w:type="gramEnd"/>
      <w:r w:rsidRPr="00F95D2B">
        <w:t xml:space="preserve"> * </w:t>
      </w:r>
      <w:proofErr w:type="spellStart"/>
      <w:r w:rsidRPr="00F95D2B">
        <w:t>Qi</w:t>
      </w:r>
      <w:proofErr w:type="spellEnd"/>
      <w:r w:rsidRPr="00F95D2B">
        <w:t xml:space="preserve">) / Σ </w:t>
      </w:r>
      <w:proofErr w:type="spellStart"/>
      <w:r w:rsidRPr="00F95D2B">
        <w:t>Qi</w:t>
      </w:r>
      <w:proofErr w:type="spellEnd"/>
      <w:r w:rsidRPr="00F95D2B">
        <w:t>,</w:t>
      </w:r>
    </w:p>
    <w:p w:rsidR="003E7F90" w:rsidRPr="00F95D2B" w:rsidRDefault="003E7F90" w:rsidP="003E7F90">
      <w:pPr>
        <w:ind w:firstLine="284"/>
        <w:jc w:val="center"/>
      </w:pPr>
    </w:p>
    <w:p w:rsidR="003E7F90" w:rsidRPr="00F95D2B" w:rsidRDefault="003E7F90" w:rsidP="003E7F90">
      <w:pPr>
        <w:ind w:firstLine="284"/>
        <w:jc w:val="center"/>
      </w:pPr>
      <w:proofErr w:type="spellStart"/>
      <w:proofErr w:type="gramStart"/>
      <w:r w:rsidRPr="00F95D2B">
        <w:t>Y</w:t>
      </w:r>
      <w:proofErr w:type="gramEnd"/>
      <w:r w:rsidRPr="00F95D2B">
        <w:t>ц</w:t>
      </w:r>
      <w:proofErr w:type="spellEnd"/>
      <w:r w:rsidRPr="00F95D2B">
        <w:t xml:space="preserve"> = Σ (</w:t>
      </w:r>
      <w:proofErr w:type="spellStart"/>
      <w:r w:rsidRPr="00F95D2B">
        <w:t>Yi</w:t>
      </w:r>
      <w:proofErr w:type="spellEnd"/>
      <w:r w:rsidRPr="00F95D2B">
        <w:t xml:space="preserve"> * </w:t>
      </w:r>
      <w:proofErr w:type="spellStart"/>
      <w:r w:rsidRPr="00F95D2B">
        <w:t>Qi</w:t>
      </w:r>
      <w:proofErr w:type="spellEnd"/>
      <w:r w:rsidRPr="00F95D2B">
        <w:t xml:space="preserve">) / Σ </w:t>
      </w:r>
      <w:proofErr w:type="spellStart"/>
      <w:r w:rsidRPr="00F95D2B">
        <w:t>Qi</w:t>
      </w:r>
      <w:proofErr w:type="spellEnd"/>
      <w:r w:rsidRPr="00F95D2B">
        <w:t>,</w:t>
      </w:r>
    </w:p>
    <w:p w:rsidR="003E7F90" w:rsidRPr="00F95D2B" w:rsidRDefault="003E7F90" w:rsidP="003E7F90">
      <w:pPr>
        <w:ind w:firstLine="284"/>
        <w:jc w:val="both"/>
      </w:pPr>
    </w:p>
    <w:p w:rsidR="003E7F90" w:rsidRPr="00F95D2B" w:rsidRDefault="003E7F90" w:rsidP="003E7F90">
      <w:pPr>
        <w:ind w:firstLine="284"/>
        <w:jc w:val="both"/>
      </w:pPr>
      <w:r w:rsidRPr="00F95D2B">
        <w:t xml:space="preserve">где </w:t>
      </w:r>
      <w:proofErr w:type="spellStart"/>
      <w:r w:rsidRPr="00F95D2B">
        <w:t>Х</w:t>
      </w:r>
      <w:proofErr w:type="gramStart"/>
      <w:r w:rsidRPr="00F95D2B">
        <w:t>i</w:t>
      </w:r>
      <w:proofErr w:type="spellEnd"/>
      <w:proofErr w:type="gramEnd"/>
      <w:r w:rsidRPr="00F95D2B">
        <w:t xml:space="preserve"> и </w:t>
      </w:r>
      <w:proofErr w:type="spellStart"/>
      <w:r w:rsidRPr="00F95D2B">
        <w:t>Yi</w:t>
      </w:r>
      <w:proofErr w:type="spellEnd"/>
      <w:r w:rsidRPr="00F95D2B">
        <w:t xml:space="preserve"> – координаты i-го потребителя;</w:t>
      </w:r>
    </w:p>
    <w:p w:rsidR="003E7F90" w:rsidRPr="00F95D2B" w:rsidRDefault="003E7F90" w:rsidP="003E7F90">
      <w:pPr>
        <w:ind w:firstLine="284"/>
        <w:jc w:val="both"/>
      </w:pPr>
      <w:r w:rsidRPr="00F95D2B">
        <w:t xml:space="preserve"> </w:t>
      </w:r>
      <w:proofErr w:type="spellStart"/>
      <w:r w:rsidRPr="00F95D2B">
        <w:t>Qi</w:t>
      </w:r>
      <w:proofErr w:type="spellEnd"/>
      <w:r w:rsidRPr="00F95D2B">
        <w:t xml:space="preserve"> – грузооборот i-го потребителя;</w:t>
      </w:r>
    </w:p>
    <w:p w:rsidR="003E7F90" w:rsidRPr="00F95D2B" w:rsidRDefault="003E7F90" w:rsidP="003E7F90">
      <w:pPr>
        <w:ind w:firstLine="284"/>
        <w:jc w:val="both"/>
      </w:pPr>
      <w:r w:rsidRPr="00F95D2B">
        <w:t xml:space="preserve"> </w:t>
      </w:r>
      <w:proofErr w:type="spellStart"/>
      <w:r w:rsidRPr="00F95D2B">
        <w:t>Хц</w:t>
      </w:r>
      <w:proofErr w:type="spellEnd"/>
      <w:r w:rsidRPr="00F95D2B">
        <w:t xml:space="preserve"> и </w:t>
      </w:r>
      <w:proofErr w:type="spellStart"/>
      <w:proofErr w:type="gramStart"/>
      <w:r w:rsidRPr="00F95D2B">
        <w:t>Y</w:t>
      </w:r>
      <w:proofErr w:type="gramEnd"/>
      <w:r w:rsidRPr="00F95D2B">
        <w:t>ц</w:t>
      </w:r>
      <w:proofErr w:type="spellEnd"/>
      <w:r w:rsidRPr="00F95D2B">
        <w:t xml:space="preserve"> – координаты центра тяжести грузопотоков.</w:t>
      </w:r>
    </w:p>
    <w:p w:rsidR="003E7F90" w:rsidRPr="00F95D2B" w:rsidRDefault="003E7F90" w:rsidP="003E7F90">
      <w:pPr>
        <w:ind w:firstLine="284"/>
        <w:jc w:val="both"/>
      </w:pPr>
    </w:p>
    <w:p w:rsidR="003E7F90" w:rsidRPr="00F95D2B" w:rsidRDefault="003E7F90" w:rsidP="003E7F90">
      <w:pPr>
        <w:ind w:firstLine="284"/>
        <w:jc w:val="both"/>
      </w:pPr>
      <w:r w:rsidRPr="00F95D2B">
        <w:t>Ниже представлена таблица с расчетом координат центра тяжести по исходным данным.</w:t>
      </w:r>
    </w:p>
    <w:p w:rsidR="003E7F90" w:rsidRPr="00F95D2B" w:rsidRDefault="003E7F90" w:rsidP="003E7F90">
      <w:pPr>
        <w:ind w:firstLine="284"/>
        <w:jc w:val="both"/>
      </w:pPr>
      <w:r w:rsidRPr="00F95D2B">
        <w:t>Таблица 1 – Расчет координат центра тяжести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3E7F90" w:rsidRPr="00F95D2B" w:rsidTr="00F55664">
        <w:tc>
          <w:tcPr>
            <w:tcW w:w="2392" w:type="dxa"/>
          </w:tcPr>
          <w:p w:rsidR="003E7F90" w:rsidRPr="00F95D2B" w:rsidRDefault="003E7F90" w:rsidP="00F55664">
            <w:pPr>
              <w:jc w:val="both"/>
            </w:pPr>
            <w:r w:rsidRPr="00F95D2B">
              <w:t xml:space="preserve">Потребитель 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Координата Х, км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Координата</w:t>
            </w:r>
            <w:proofErr w:type="gramStart"/>
            <w:r w:rsidRPr="00F95D2B">
              <w:t xml:space="preserve"> У</w:t>
            </w:r>
            <w:proofErr w:type="gramEnd"/>
            <w:r w:rsidRPr="00F95D2B">
              <w:t>, км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 xml:space="preserve">Грузооборот </w:t>
            </w:r>
            <w:r w:rsidRPr="004F3647">
              <w:rPr>
                <w:lang w:val="en-US"/>
              </w:rPr>
              <w:t>Q</w:t>
            </w:r>
            <w:r w:rsidRPr="00F95D2B">
              <w:t>,т</w:t>
            </w:r>
          </w:p>
        </w:tc>
      </w:tr>
      <w:tr w:rsidR="003E7F90" w:rsidRPr="00F95D2B" w:rsidTr="00F55664">
        <w:tc>
          <w:tcPr>
            <w:tcW w:w="2392" w:type="dxa"/>
          </w:tcPr>
          <w:p w:rsidR="003E7F90" w:rsidRPr="00F95D2B" w:rsidRDefault="003E7F90" w:rsidP="00F55664">
            <w:pPr>
              <w:jc w:val="both"/>
            </w:pPr>
            <w:r w:rsidRPr="00F95D2B">
              <w:t>А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36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42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35</w:t>
            </w:r>
          </w:p>
        </w:tc>
      </w:tr>
      <w:tr w:rsidR="003E7F90" w:rsidRPr="00F95D2B" w:rsidTr="00F55664">
        <w:tc>
          <w:tcPr>
            <w:tcW w:w="2392" w:type="dxa"/>
          </w:tcPr>
          <w:p w:rsidR="003E7F90" w:rsidRPr="00F95D2B" w:rsidRDefault="003E7F90" w:rsidP="00F55664">
            <w:pPr>
              <w:jc w:val="both"/>
            </w:pPr>
            <w:r w:rsidRPr="00F95D2B">
              <w:t>В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36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19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25</w:t>
            </w:r>
          </w:p>
        </w:tc>
      </w:tr>
      <w:tr w:rsidR="003E7F90" w:rsidRPr="00F95D2B" w:rsidTr="00F55664">
        <w:tc>
          <w:tcPr>
            <w:tcW w:w="2392" w:type="dxa"/>
          </w:tcPr>
          <w:p w:rsidR="003E7F90" w:rsidRPr="00F95D2B" w:rsidRDefault="003E7F90" w:rsidP="00F55664">
            <w:pPr>
              <w:jc w:val="both"/>
            </w:pPr>
            <w:r w:rsidRPr="00F95D2B">
              <w:t>С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87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28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25</w:t>
            </w:r>
          </w:p>
        </w:tc>
      </w:tr>
      <w:tr w:rsidR="003E7F90" w:rsidRPr="00F95D2B" w:rsidTr="00F55664">
        <w:tc>
          <w:tcPr>
            <w:tcW w:w="2392" w:type="dxa"/>
          </w:tcPr>
          <w:p w:rsidR="003E7F90" w:rsidRPr="00F95D2B" w:rsidRDefault="003E7F90" w:rsidP="00F55664">
            <w:pPr>
              <w:jc w:val="both"/>
            </w:pPr>
            <w:r w:rsidRPr="004F3647">
              <w:rPr>
                <w:lang w:val="en-US"/>
              </w:rPr>
              <w:t>D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78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58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35</w:t>
            </w:r>
          </w:p>
        </w:tc>
      </w:tr>
      <w:tr w:rsidR="003E7F90" w:rsidRPr="00F95D2B" w:rsidTr="00F55664">
        <w:tc>
          <w:tcPr>
            <w:tcW w:w="2392" w:type="dxa"/>
          </w:tcPr>
          <w:p w:rsidR="003E7F90" w:rsidRPr="00F95D2B" w:rsidRDefault="003E7F90" w:rsidP="00F55664">
            <w:pPr>
              <w:jc w:val="both"/>
            </w:pPr>
            <w:r w:rsidRPr="00F95D2B">
              <w:t xml:space="preserve">Сумма 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120</w:t>
            </w:r>
          </w:p>
        </w:tc>
      </w:tr>
      <w:tr w:rsidR="003E7F90" w:rsidRPr="00F95D2B" w:rsidTr="00F55664">
        <w:tc>
          <w:tcPr>
            <w:tcW w:w="2392" w:type="dxa"/>
          </w:tcPr>
          <w:p w:rsidR="003E7F90" w:rsidRPr="00F95D2B" w:rsidRDefault="003E7F90" w:rsidP="00F55664">
            <w:pPr>
              <w:jc w:val="both"/>
            </w:pPr>
            <w:r w:rsidRPr="00F95D2B">
              <w:t>Центр тяжести грузовых потоков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58,9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  <w:r w:rsidRPr="00F95D2B">
              <w:t>39,0</w:t>
            </w:r>
          </w:p>
        </w:tc>
        <w:tc>
          <w:tcPr>
            <w:tcW w:w="2393" w:type="dxa"/>
          </w:tcPr>
          <w:p w:rsidR="003E7F90" w:rsidRPr="00F95D2B" w:rsidRDefault="003E7F90" w:rsidP="00F55664">
            <w:pPr>
              <w:jc w:val="both"/>
            </w:pPr>
          </w:p>
        </w:tc>
      </w:tr>
    </w:tbl>
    <w:p w:rsidR="003E7F90" w:rsidRPr="00F95D2B" w:rsidRDefault="003E7F90" w:rsidP="003E7F90">
      <w:pPr>
        <w:ind w:firstLine="284"/>
        <w:jc w:val="both"/>
      </w:pPr>
    </w:p>
    <w:p w:rsidR="003E7F90" w:rsidRPr="00F95D2B" w:rsidRDefault="003E7F90" w:rsidP="003E7F90">
      <w:pPr>
        <w:ind w:firstLine="284"/>
        <w:jc w:val="both"/>
      </w:pPr>
      <w:r w:rsidRPr="00F95D2B">
        <w:t xml:space="preserve">Следует отметить, что описанный метод определения центра тяжести на практике имеет два существенных ограничения. Во-первых, расстояние от пункта потребления грузового потока до места размещения распределительного центра или склада учитывается по </w:t>
      </w:r>
      <w:proofErr w:type="gramStart"/>
      <w:r w:rsidRPr="00F95D2B">
        <w:t>прямой</w:t>
      </w:r>
      <w:proofErr w:type="gramEnd"/>
      <w:r w:rsidRPr="00F95D2B">
        <w:t>. А во-вторых, рассчитанное местоположение склада на деле может оказаться совершенно не пригодным для его строительства, например.</w:t>
      </w:r>
    </w:p>
    <w:p w:rsidR="003E7F90" w:rsidRPr="00F95D2B" w:rsidRDefault="003E7F90" w:rsidP="003E7F90">
      <w:pPr>
        <w:ind w:firstLine="284"/>
        <w:jc w:val="both"/>
      </w:pPr>
    </w:p>
    <w:p w:rsidR="003E7F90" w:rsidRPr="00F95D2B" w:rsidRDefault="00193458" w:rsidP="003E7F90">
      <w:pPr>
        <w:ind w:firstLine="284"/>
        <w:jc w:val="center"/>
        <w:rPr>
          <w:b/>
          <w:i/>
          <w:u w:val="single"/>
        </w:rPr>
      </w:pPr>
      <w:r>
        <w:rPr>
          <w:b/>
          <w:i/>
          <w:u w:val="single"/>
        </w:rPr>
        <w:t>ЗАДАЧА 2</w:t>
      </w:r>
    </w:p>
    <w:p w:rsidR="003E7F90" w:rsidRPr="00F95D2B" w:rsidRDefault="003E7F90" w:rsidP="003E7F90">
      <w:pPr>
        <w:ind w:firstLine="284"/>
        <w:jc w:val="center"/>
        <w:rPr>
          <w:b/>
          <w:i/>
          <w:u w:val="single"/>
        </w:rPr>
      </w:pPr>
    </w:p>
    <w:p w:rsidR="003E7F90" w:rsidRPr="00F95D2B" w:rsidRDefault="003E7F90" w:rsidP="003E7F90">
      <w:pPr>
        <w:ind w:firstLine="284"/>
        <w:jc w:val="both"/>
      </w:pPr>
      <w:r w:rsidRPr="00F95D2B">
        <w:t>Выберите для внедрения систему распределения из двух предлагаемых, если для каждой из систем известно:</w:t>
      </w:r>
    </w:p>
    <w:p w:rsidR="003E7F90" w:rsidRPr="00F95D2B" w:rsidRDefault="003E7F90" w:rsidP="003E7F90">
      <w:pPr>
        <w:ind w:firstLine="284"/>
        <w:jc w:val="both"/>
      </w:pPr>
      <w:r w:rsidRPr="00F95D2B">
        <w:t>- годовые эксплуатационные затраты  - 1) 7040 долл</w:t>
      </w:r>
      <w:proofErr w:type="gramStart"/>
      <w:r w:rsidRPr="00F95D2B">
        <w:t>.С</w:t>
      </w:r>
      <w:proofErr w:type="gramEnd"/>
      <w:r w:rsidRPr="00F95D2B">
        <w:t>ША/год, 2) 3420долл.США/год;</w:t>
      </w:r>
    </w:p>
    <w:p w:rsidR="003E7F90" w:rsidRPr="00F95D2B" w:rsidRDefault="003E7F90" w:rsidP="003E7F90">
      <w:pPr>
        <w:ind w:firstLine="284"/>
        <w:jc w:val="both"/>
      </w:pPr>
      <w:r w:rsidRPr="00F95D2B">
        <w:t>- годовые транспортные затраты  - 1) 4480 долл</w:t>
      </w:r>
      <w:proofErr w:type="gramStart"/>
      <w:r w:rsidRPr="00F95D2B">
        <w:t>.С</w:t>
      </w:r>
      <w:proofErr w:type="gramEnd"/>
      <w:r w:rsidRPr="00F95D2B">
        <w:t>ША/год, 2) 5520долл.США/год;</w:t>
      </w:r>
    </w:p>
    <w:p w:rsidR="003E7F90" w:rsidRPr="00F95D2B" w:rsidRDefault="003E7F90" w:rsidP="003E7F90">
      <w:pPr>
        <w:ind w:firstLine="284"/>
        <w:jc w:val="both"/>
      </w:pPr>
      <w:r w:rsidRPr="00F95D2B">
        <w:t>- капитальные вложения в строительство распределительных центров – 1) 32534 долл</w:t>
      </w:r>
      <w:proofErr w:type="gramStart"/>
      <w:r w:rsidRPr="00F95D2B">
        <w:t>.С</w:t>
      </w:r>
      <w:proofErr w:type="gramEnd"/>
      <w:r w:rsidRPr="00F95D2B">
        <w:t>ША, 2) 42810 долл.США.</w:t>
      </w:r>
    </w:p>
    <w:p w:rsidR="003E7F90" w:rsidRPr="00F95D2B" w:rsidRDefault="003E7F90" w:rsidP="003E7F90">
      <w:pPr>
        <w:ind w:firstLine="284"/>
        <w:jc w:val="both"/>
      </w:pPr>
      <w:r w:rsidRPr="00F95D2B">
        <w:lastRenderedPageBreak/>
        <w:t>- срок окупаемости системы – 1) 7,3 года, 2)  7,4 года.</w:t>
      </w:r>
    </w:p>
    <w:p w:rsidR="003E7F90" w:rsidRPr="00F95D2B" w:rsidRDefault="003E7F90" w:rsidP="003E7F90">
      <w:pPr>
        <w:pStyle w:val="4"/>
        <w:spacing w:before="240"/>
        <w:rPr>
          <w:sz w:val="24"/>
          <w:szCs w:val="24"/>
        </w:rPr>
      </w:pPr>
      <w:r w:rsidRPr="00F95D2B">
        <w:rPr>
          <w:sz w:val="24"/>
          <w:szCs w:val="24"/>
        </w:rPr>
        <w:t>Методика решения</w:t>
      </w:r>
    </w:p>
    <w:p w:rsidR="003E7F90" w:rsidRDefault="003E7F90" w:rsidP="003E7F90">
      <w:pPr>
        <w:ind w:firstLine="284"/>
        <w:jc w:val="both"/>
      </w:pPr>
      <w:r>
        <w:t>Для того, чтобы из двух предлагаемых вариантов системы распределения выбрать один, необходимо установить критерий выбора – это минимум приведенных годовых затрат, то есть затрат, приведенных к единому годовому измерению. Затем необходимо оценить по этому критерию каждый из вариантов.</w:t>
      </w:r>
    </w:p>
    <w:p w:rsidR="003E7F90" w:rsidRDefault="003E7F90" w:rsidP="003E7F90">
      <w:pPr>
        <w:ind w:firstLine="284"/>
        <w:jc w:val="both"/>
      </w:pPr>
      <w:r>
        <w:t>Величина приведенных затрат определяется по формуле:</w:t>
      </w:r>
    </w:p>
    <w:p w:rsidR="003E7F90" w:rsidRPr="003E7F90" w:rsidRDefault="003E7F90" w:rsidP="003E7F90">
      <w:pPr>
        <w:ind w:firstLine="284"/>
        <w:jc w:val="both"/>
      </w:pPr>
    </w:p>
    <w:p w:rsidR="003E7F90" w:rsidRDefault="003E7F90" w:rsidP="003E7F90">
      <w:pPr>
        <w:ind w:firstLine="284"/>
        <w:jc w:val="center"/>
      </w:pPr>
      <w:proofErr w:type="gramStart"/>
      <w:r>
        <w:t>З</w:t>
      </w:r>
      <w:proofErr w:type="gramEnd"/>
      <w:r>
        <w:t xml:space="preserve"> = Э + Т + К/С</w:t>
      </w:r>
    </w:p>
    <w:p w:rsidR="003E7F90" w:rsidRDefault="003E7F90" w:rsidP="003E7F90">
      <w:pPr>
        <w:ind w:firstLine="284"/>
        <w:jc w:val="center"/>
      </w:pPr>
    </w:p>
    <w:p w:rsidR="003E7F90" w:rsidRDefault="003E7F90" w:rsidP="003E7F90">
      <w:pPr>
        <w:ind w:firstLine="284"/>
        <w:jc w:val="both"/>
      </w:pPr>
      <w:r>
        <w:t>З – приведенные годовые затраты системы распределения, долл</w:t>
      </w:r>
      <w:proofErr w:type="gramStart"/>
      <w:r>
        <w:t>.С</w:t>
      </w:r>
      <w:proofErr w:type="gramEnd"/>
      <w:r>
        <w:t>ША/год;</w:t>
      </w:r>
    </w:p>
    <w:p w:rsidR="003E7F90" w:rsidRDefault="003E7F90" w:rsidP="003E7F90">
      <w:pPr>
        <w:ind w:firstLine="284"/>
        <w:jc w:val="both"/>
      </w:pPr>
      <w:r>
        <w:t>Э – годовые эксплуатационные расходы системы, долл</w:t>
      </w:r>
      <w:proofErr w:type="gramStart"/>
      <w:r>
        <w:t>.С</w:t>
      </w:r>
      <w:proofErr w:type="gramEnd"/>
      <w:r>
        <w:t>ША/год;</w:t>
      </w:r>
    </w:p>
    <w:p w:rsidR="003E7F90" w:rsidRDefault="003E7F90" w:rsidP="003E7F90">
      <w:pPr>
        <w:ind w:firstLine="284"/>
        <w:jc w:val="both"/>
      </w:pPr>
      <w:r>
        <w:t>Т - годовые транспортные расходы системы, долл</w:t>
      </w:r>
      <w:proofErr w:type="gramStart"/>
      <w:r>
        <w:t>.С</w:t>
      </w:r>
      <w:proofErr w:type="gramEnd"/>
      <w:r>
        <w:t>ША/год;</w:t>
      </w:r>
    </w:p>
    <w:p w:rsidR="003E7F90" w:rsidRDefault="003E7F90" w:rsidP="003E7F90">
      <w:pPr>
        <w:ind w:firstLine="284"/>
        <w:jc w:val="both"/>
      </w:pPr>
      <w:r>
        <w:t>К – капитальные вложения в строительство распределительного центра, долл</w:t>
      </w:r>
      <w:proofErr w:type="gramStart"/>
      <w:r>
        <w:t>.С</w:t>
      </w:r>
      <w:proofErr w:type="gramEnd"/>
      <w:r>
        <w:t>ША;</w:t>
      </w:r>
    </w:p>
    <w:p w:rsidR="003E7F90" w:rsidRDefault="003E7F90" w:rsidP="003E7F90">
      <w:pPr>
        <w:ind w:firstLine="284"/>
        <w:jc w:val="both"/>
      </w:pPr>
      <w:proofErr w:type="gramStart"/>
      <w:r>
        <w:t>С</w:t>
      </w:r>
      <w:proofErr w:type="gramEnd"/>
      <w:r>
        <w:t xml:space="preserve"> – срок окупаемости варианта, год.</w:t>
      </w:r>
    </w:p>
    <w:p w:rsidR="003E7F90" w:rsidRDefault="003E7F90" w:rsidP="003E7F90">
      <w:pPr>
        <w:ind w:firstLine="284"/>
        <w:jc w:val="both"/>
      </w:pPr>
      <w:r>
        <w:t>Для реализации необходимо выбрать тот вариант системы распределения, который имеет минимальное значение приведенных годовых затрат.</w:t>
      </w:r>
    </w:p>
    <w:p w:rsidR="003E7F90" w:rsidRDefault="003E7F90" w:rsidP="003E7F90">
      <w:pPr>
        <w:ind w:firstLine="284"/>
        <w:jc w:val="both"/>
      </w:pPr>
      <w:r>
        <w:t xml:space="preserve"> Таким образом, для первой системы распределения,</w:t>
      </w:r>
      <w:r w:rsidRPr="00427231">
        <w:t xml:space="preserve"> </w:t>
      </w:r>
      <w:r>
        <w:t>приведенные годовые затраты равны:</w:t>
      </w:r>
    </w:p>
    <w:p w:rsidR="003E7F90" w:rsidRDefault="003E7F90" w:rsidP="003E7F90">
      <w:pPr>
        <w:ind w:firstLine="284"/>
        <w:jc w:val="both"/>
      </w:pPr>
      <w:r>
        <w:t>З</w:t>
      </w:r>
      <w:r w:rsidRPr="00427231">
        <w:rPr>
          <w:sz w:val="20"/>
        </w:rPr>
        <w:t>1</w:t>
      </w:r>
      <w:r>
        <w:t xml:space="preserve"> = 7040 + 4480 + 32534 / 7,3 = 15976,71 долл</w:t>
      </w:r>
      <w:proofErr w:type="gramStart"/>
      <w:r>
        <w:t>.С</w:t>
      </w:r>
      <w:proofErr w:type="gramEnd"/>
      <w:r>
        <w:t>ША/год.</w:t>
      </w:r>
    </w:p>
    <w:p w:rsidR="003E7F90" w:rsidRDefault="003E7F90" w:rsidP="003E7F90">
      <w:pPr>
        <w:ind w:firstLine="284"/>
        <w:jc w:val="both"/>
      </w:pPr>
    </w:p>
    <w:p w:rsidR="003E7F90" w:rsidRDefault="003E7F90" w:rsidP="003E7F90">
      <w:pPr>
        <w:ind w:firstLine="284"/>
        <w:jc w:val="both"/>
      </w:pPr>
      <w:r>
        <w:t>Для второй системы распределения:</w:t>
      </w:r>
    </w:p>
    <w:p w:rsidR="003E7F90" w:rsidRDefault="003E7F90" w:rsidP="003E7F90">
      <w:pPr>
        <w:ind w:firstLine="284"/>
        <w:jc w:val="both"/>
      </w:pPr>
    </w:p>
    <w:p w:rsidR="003E7F90" w:rsidRDefault="003E7F90" w:rsidP="003E7F90">
      <w:pPr>
        <w:ind w:firstLine="284"/>
        <w:jc w:val="both"/>
      </w:pPr>
      <w:r>
        <w:t>З</w:t>
      </w:r>
      <w:r>
        <w:rPr>
          <w:sz w:val="20"/>
        </w:rPr>
        <w:t>2</w:t>
      </w:r>
      <w:r>
        <w:t xml:space="preserve"> = 3420 + 5520 + 42810 / 7,4 = 14725,14 долл</w:t>
      </w:r>
      <w:proofErr w:type="gramStart"/>
      <w:r>
        <w:t>.С</w:t>
      </w:r>
      <w:proofErr w:type="gramEnd"/>
      <w:r>
        <w:t>ША/год.</w:t>
      </w:r>
    </w:p>
    <w:p w:rsidR="003E7F90" w:rsidRDefault="003E7F90" w:rsidP="003E7F90">
      <w:pPr>
        <w:ind w:firstLine="284"/>
        <w:jc w:val="both"/>
      </w:pPr>
      <w:r>
        <w:t xml:space="preserve"> Для внедрения выбираем вторую систему распределения, так как</w:t>
      </w:r>
      <w:r w:rsidRPr="00427231">
        <w:t xml:space="preserve"> </w:t>
      </w:r>
      <w:r>
        <w:t>З</w:t>
      </w:r>
      <w:proofErr w:type="gramStart"/>
      <w:r>
        <w:rPr>
          <w:sz w:val="20"/>
        </w:rPr>
        <w:t>2</w:t>
      </w:r>
      <w:proofErr w:type="gramEnd"/>
      <w:r>
        <w:t xml:space="preserve"> меньше</w:t>
      </w:r>
      <w:r w:rsidRPr="00427231">
        <w:t xml:space="preserve"> </w:t>
      </w:r>
      <w:r>
        <w:t>З</w:t>
      </w:r>
      <w:r w:rsidRPr="00427231">
        <w:rPr>
          <w:sz w:val="20"/>
        </w:rPr>
        <w:t>1</w:t>
      </w:r>
      <w:r>
        <w:rPr>
          <w:sz w:val="20"/>
        </w:rPr>
        <w:t>.</w:t>
      </w:r>
    </w:p>
    <w:p w:rsidR="003E7F90" w:rsidRDefault="003E7F90" w:rsidP="003E7F90"/>
    <w:p w:rsidR="00AA3F5D" w:rsidRPr="00193458" w:rsidRDefault="00AA3F5D"/>
    <w:p w:rsidR="003E7F90" w:rsidRPr="00193458" w:rsidRDefault="003E7F90"/>
    <w:p w:rsidR="003E7F90" w:rsidRPr="00193458" w:rsidRDefault="003E7F90"/>
    <w:p w:rsidR="00DF3F60" w:rsidRDefault="00DF3F60">
      <w:pPr>
        <w:rPr>
          <w:lang w:val="en-US"/>
        </w:rPr>
      </w:pPr>
    </w:p>
    <w:p w:rsidR="00DF3F60" w:rsidRDefault="00DF3F60" w:rsidP="00193458">
      <w:pPr>
        <w:pStyle w:val="a5"/>
        <w:spacing w:before="0" w:beforeAutospacing="0" w:after="0" w:afterAutospacing="0"/>
      </w:pPr>
      <w:r>
        <w:t>Кейс. Усовершенствование лог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бслуживания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 xml:space="preserve">Компания «Р. </w:t>
      </w:r>
      <w:proofErr w:type="spellStart"/>
      <w:r>
        <w:t>Инвестмент</w:t>
      </w:r>
      <w:proofErr w:type="spellEnd"/>
      <w:r>
        <w:t xml:space="preserve"> Групп» работает в России с 1990 г. Это большая (по российским меркам) группа компаний, в которую входит 23 фирмы. Основной вид деятельности — ведение ресторанного бизнеса. Одним из крупных участников группы является ООО «Стикс», владеющее 14 ресторанами быстрого питания в Москве и одним рестораном в Минске. Для обеспечения функционирования сети своих ресторанов компания «Стикс» пользуется услугами двух предприятий — провайдеров логистики: ЗАО «Борг»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Панта</w:t>
      </w:r>
      <w:proofErr w:type="spellEnd"/>
      <w:r>
        <w:t xml:space="preserve">». 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 xml:space="preserve">Компания «Борг» осуществляет доставку в рестораны «Стикс» </w:t>
      </w:r>
      <w:proofErr w:type="spellStart"/>
      <w:proofErr w:type="gramStart"/>
      <w:r>
        <w:t>им-портных</w:t>
      </w:r>
      <w:proofErr w:type="spellEnd"/>
      <w:proofErr w:type="gramEnd"/>
      <w:r>
        <w:t xml:space="preserve"> продуктов питания, закупаемых ее представительствами за рубежом, в частности в Германии, Франции, Австрии, Испании и некоторых других странах. 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>Действует компания следующим образом. Заказы от всех ресторанов, магазинов, кулинарий и т. д. собираются в московском офисе, обрабатываются и передаются в соответствующие зарубежные представительства, которые осуществляют необходимые закупки продуктов и материалов. Затем автотранспорт компании «Борг» доставляет их в Москву. Базис поставки, применяемый при автоперевозках продуктов питания и материалов в Москву, — «</w:t>
      </w:r>
      <w:proofErr w:type="spellStart"/>
      <w:proofErr w:type="gramStart"/>
      <w:r>
        <w:t>DDU</w:t>
      </w:r>
      <w:proofErr w:type="gramEnd"/>
      <w:r>
        <w:t>склад</w:t>
      </w:r>
      <w:proofErr w:type="spellEnd"/>
      <w:r>
        <w:t xml:space="preserve"> компании «Борг». 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 xml:space="preserve">В дальнейшем поставки осуществляются со складов всем потребителям. В частности, в рестораны «Стикс» продукты доставляются собственным автотранспортом компании «Борг» по согласованному сторонами графику и по маршрутам, разработанным компанией. По Москве доставка в рестораны «Стикс» ежедневно осуществляется пятью </w:t>
      </w:r>
      <w:r>
        <w:lastRenderedPageBreak/>
        <w:t xml:space="preserve">автомобилями. (Одна машина всегда остается в запасе для срочного использования в случае поломки основного транспорта.) 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>Продукты питания российского происхождения в сеть ресторанов «Стикс» поставляет ООО «</w:t>
      </w:r>
      <w:proofErr w:type="spellStart"/>
      <w:r>
        <w:t>Панта</w:t>
      </w:r>
      <w:proofErr w:type="spellEnd"/>
      <w:r>
        <w:t xml:space="preserve">», которое помимо </w:t>
      </w:r>
      <w:proofErr w:type="spellStart"/>
      <w:r>
        <w:t>логистической</w:t>
      </w:r>
      <w:proofErr w:type="spellEnd"/>
      <w:r>
        <w:t xml:space="preserve"> </w:t>
      </w:r>
      <w:proofErr w:type="spellStart"/>
      <w:proofErr w:type="gramStart"/>
      <w:r>
        <w:t>дея-тельности</w:t>
      </w:r>
      <w:proofErr w:type="spellEnd"/>
      <w:proofErr w:type="gramEnd"/>
      <w:r>
        <w:t xml:space="preserve"> обрабатывает некоторые продукты (соление, маринование, очистка). «</w:t>
      </w:r>
      <w:proofErr w:type="spellStart"/>
      <w:r>
        <w:t>Панта</w:t>
      </w:r>
      <w:proofErr w:type="spellEnd"/>
      <w:r>
        <w:t xml:space="preserve">» доставляет продукты питания от поставщиков на свои склады, осуществляет их обработку (если в этом есть необходимость), хранение и последующую доставку в рестораны «Стикс». 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 xml:space="preserve">Продукты питания в рестораны «Стикс» доставляются пятью </w:t>
      </w:r>
      <w:proofErr w:type="spellStart"/>
      <w:proofErr w:type="gramStart"/>
      <w:r>
        <w:t>авто-мобилями</w:t>
      </w:r>
      <w:proofErr w:type="spellEnd"/>
      <w:proofErr w:type="gramEnd"/>
      <w:r>
        <w:t xml:space="preserve"> компании «</w:t>
      </w:r>
      <w:proofErr w:type="spellStart"/>
      <w:r>
        <w:t>Панта</w:t>
      </w:r>
      <w:proofErr w:type="spellEnd"/>
      <w:r>
        <w:t xml:space="preserve">» по согласованному графику и по маршрутам, установленным компанией. 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 xml:space="preserve">Система поставки продуктов питания в сеть ресторанов «Стикс» в целом работает слаженно, однако можно констатировать, что: 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 xml:space="preserve">1) ежедневно по одним и тем же маршрутам (по крайней </w:t>
      </w:r>
      <w:proofErr w:type="gramStart"/>
      <w:r>
        <w:t>мере</w:t>
      </w:r>
      <w:proofErr w:type="gramEnd"/>
      <w:r>
        <w:t xml:space="preserve"> имея в виду конечную точку маршрутов) курсирует 10 автомобилей, работа которых не координируется; 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 xml:space="preserve">2) при сбое в доставке продуктов в ресторанную сеть все рестораны «Стикс» могут остаться без необходимых </w:t>
      </w:r>
      <w:proofErr w:type="gramStart"/>
      <w:r>
        <w:t>продуктов</w:t>
      </w:r>
      <w:proofErr w:type="gramEnd"/>
      <w:r>
        <w:t xml:space="preserve"> и вынуждены будут в пожарном порядке производить закупку продуктов «на стороне»; </w:t>
      </w: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 xml:space="preserve">3) все продукты питания сначала поступают на центральный склад фирмы «Борг» в Москве, а затем развозятся по Москве и в Минск, хотя, доставляя продукты питания из стран Западной Европы, автомобили проходят через Белоруссию. </w:t>
      </w:r>
    </w:p>
    <w:p w:rsidR="00DF3F60" w:rsidRPr="00DF3F60" w:rsidRDefault="00DF3F60" w:rsidP="00DF3F60">
      <w:pPr>
        <w:pStyle w:val="a5"/>
        <w:spacing w:before="0" w:beforeAutospacing="0" w:after="0" w:afterAutospacing="0"/>
        <w:jc w:val="both"/>
      </w:pPr>
    </w:p>
    <w:p w:rsidR="00DF3F60" w:rsidRDefault="00DF3F60" w:rsidP="00DF3F60">
      <w:pPr>
        <w:pStyle w:val="a5"/>
        <w:spacing w:before="0" w:beforeAutospacing="0" w:after="0" w:afterAutospacing="0"/>
        <w:jc w:val="both"/>
      </w:pPr>
      <w:r>
        <w:t xml:space="preserve">Задание. Дайте свои предложения по совершенствованию </w:t>
      </w:r>
      <w:proofErr w:type="spellStart"/>
      <w:r>
        <w:t>логистического</w:t>
      </w:r>
      <w:proofErr w:type="spellEnd"/>
      <w:r>
        <w:t xml:space="preserve"> обслуживания ресторанной сети «Стикс». </w:t>
      </w:r>
    </w:p>
    <w:p w:rsidR="00DF3F60" w:rsidRPr="00DF3F60" w:rsidRDefault="00DF3F60" w:rsidP="00DF3F60"/>
    <w:p w:rsidR="00DF3F60" w:rsidRPr="00DF3F60" w:rsidRDefault="00DF3F60" w:rsidP="00DF3F60"/>
    <w:p w:rsidR="00DF3F60" w:rsidRPr="00DF3F60" w:rsidRDefault="00DF3F60" w:rsidP="00DF3F60"/>
    <w:p w:rsidR="00DF3F60" w:rsidRPr="00DF3F60" w:rsidRDefault="00DF3F60" w:rsidP="00DF3F60"/>
    <w:p w:rsidR="00DF3F60" w:rsidRPr="00DF3F60" w:rsidRDefault="00DF3F60" w:rsidP="00DF3F60"/>
    <w:p w:rsidR="00DF3F60" w:rsidRPr="00DF3F60" w:rsidRDefault="00DF3F60" w:rsidP="00DF3F60"/>
    <w:p w:rsidR="00DF3F60" w:rsidRPr="00DF3F60" w:rsidRDefault="00DF3F60" w:rsidP="00DF3F60"/>
    <w:p w:rsidR="00DF3F60" w:rsidRPr="00DF3F60" w:rsidRDefault="00DF3F60"/>
    <w:p w:rsidR="00DF3F60" w:rsidRPr="00DF3F60" w:rsidRDefault="00DF3F60"/>
    <w:sectPr w:rsidR="00DF3F60" w:rsidRPr="00DF3F60" w:rsidSect="00AA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7F90"/>
    <w:rsid w:val="0000613C"/>
    <w:rsid w:val="00193458"/>
    <w:rsid w:val="00387C7E"/>
    <w:rsid w:val="003E7F90"/>
    <w:rsid w:val="00AA3F5D"/>
    <w:rsid w:val="00D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E7F90"/>
    <w:pPr>
      <w:keepNext/>
      <w:spacing w:before="120" w:after="120"/>
      <w:jc w:val="center"/>
      <w:outlineLvl w:val="3"/>
    </w:pPr>
    <w:rPr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7F90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customStyle="1" w:styleId="a3">
    <w:name w:val="табл."/>
    <w:basedOn w:val="a"/>
    <w:rsid w:val="003E7F90"/>
    <w:pPr>
      <w:spacing w:before="60" w:after="60"/>
      <w:outlineLvl w:val="0"/>
    </w:pPr>
    <w:rPr>
      <w:kern w:val="28"/>
      <w:sz w:val="18"/>
      <w:szCs w:val="20"/>
    </w:rPr>
  </w:style>
  <w:style w:type="paragraph" w:customStyle="1" w:styleId="a4">
    <w:name w:val="табличный"/>
    <w:basedOn w:val="a3"/>
    <w:rsid w:val="003E7F90"/>
    <w:pPr>
      <w:keepNext/>
      <w:spacing w:before="120" w:after="120"/>
      <w:jc w:val="right"/>
    </w:pPr>
    <w:rPr>
      <w:rFonts w:ascii="Arial" w:hAnsi="Arial" w:cs="Arial"/>
      <w:bCs/>
      <w:sz w:val="20"/>
    </w:rPr>
  </w:style>
  <w:style w:type="paragraph" w:styleId="a5">
    <w:name w:val="Normal (Web)"/>
    <w:basedOn w:val="a"/>
    <w:uiPriority w:val="99"/>
    <w:semiHidden/>
    <w:unhideWhenUsed/>
    <w:rsid w:val="00DF3F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2014-11-27T08:14:00Z</cp:lastPrinted>
  <dcterms:created xsi:type="dcterms:W3CDTF">2015-01-14T10:50:00Z</dcterms:created>
  <dcterms:modified xsi:type="dcterms:W3CDTF">2015-01-14T10:50:00Z</dcterms:modified>
</cp:coreProperties>
</file>